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6D5E" w14:textId="77777777" w:rsidR="00753618" w:rsidRDefault="00753618" w:rsidP="00753618">
      <w:pPr>
        <w:spacing w:after="0"/>
        <w:jc w:val="center"/>
        <w:rPr>
          <w:rFonts w:ascii="Times New Roman" w:hAnsi="Times New Roman" w:cs="Times New Roman"/>
          <w:b/>
          <w:bCs/>
        </w:rPr>
      </w:pPr>
      <w:r w:rsidRPr="00753618">
        <w:rPr>
          <w:rFonts w:ascii="Times New Roman" w:hAnsi="Times New Roman" w:cs="Times New Roman"/>
          <w:b/>
          <w:bCs/>
        </w:rPr>
        <w:t xml:space="preserve">LA RILEVANTE AUTONOMIA LOCALE NELL’APPLICAZIONE DEL DM 77: </w:t>
      </w:r>
    </w:p>
    <w:p w14:paraId="1A598D92" w14:textId="4A373462" w:rsidR="00753618" w:rsidRPr="00753618" w:rsidRDefault="00753618" w:rsidP="00753618">
      <w:pPr>
        <w:spacing w:after="0"/>
        <w:jc w:val="center"/>
        <w:rPr>
          <w:rFonts w:ascii="Times New Roman" w:hAnsi="Times New Roman" w:cs="Times New Roman"/>
          <w:b/>
          <w:bCs/>
        </w:rPr>
      </w:pPr>
      <w:r w:rsidRPr="00753618">
        <w:rPr>
          <w:rFonts w:ascii="Times New Roman" w:hAnsi="Times New Roman" w:cs="Times New Roman"/>
          <w:b/>
          <w:bCs/>
        </w:rPr>
        <w:t>LE POSSIBILI STRATEGIE ALTERNATIVE</w:t>
      </w:r>
    </w:p>
    <w:p w14:paraId="745C3028" w14:textId="236A739B" w:rsidR="00753618" w:rsidRDefault="00753618" w:rsidP="00753618">
      <w:pPr>
        <w:spacing w:after="0"/>
        <w:jc w:val="center"/>
        <w:rPr>
          <w:rFonts w:ascii="Times New Roman" w:hAnsi="Times New Roman" w:cs="Times New Roman"/>
        </w:rPr>
      </w:pPr>
      <w:r>
        <w:rPr>
          <w:rFonts w:ascii="Times New Roman" w:hAnsi="Times New Roman" w:cs="Times New Roman"/>
        </w:rPr>
        <w:t>di Francesco Longo, Angelica Zazzera, francesca Guerra, CERGAS/SDA Università Bocconi</w:t>
      </w:r>
    </w:p>
    <w:p w14:paraId="34A87DB5" w14:textId="77777777" w:rsidR="00753618" w:rsidRDefault="00753618" w:rsidP="00552E9F">
      <w:pPr>
        <w:spacing w:after="0"/>
        <w:jc w:val="both"/>
        <w:rPr>
          <w:rFonts w:ascii="Times New Roman" w:hAnsi="Times New Roman" w:cs="Times New Roman"/>
        </w:rPr>
      </w:pPr>
    </w:p>
    <w:p w14:paraId="18D95D93" w14:textId="3EEB569B" w:rsidR="004A0323" w:rsidRPr="004A0323" w:rsidRDefault="004A0323" w:rsidP="00552E9F">
      <w:pPr>
        <w:spacing w:after="0"/>
        <w:jc w:val="both"/>
        <w:rPr>
          <w:rFonts w:ascii="Times New Roman" w:hAnsi="Times New Roman" w:cs="Times New Roman"/>
          <w:highlight w:val="yellow"/>
        </w:rPr>
      </w:pPr>
      <w:r w:rsidRPr="00BB06AB">
        <w:rPr>
          <w:rFonts w:ascii="Times New Roman" w:hAnsi="Times New Roman" w:cs="Times New Roman"/>
        </w:rPr>
        <w:t xml:space="preserve">Il DM77 rappresenta </w:t>
      </w:r>
      <w:r w:rsidR="00552E9F">
        <w:rPr>
          <w:rFonts w:ascii="Times New Roman" w:hAnsi="Times New Roman" w:cs="Times New Roman"/>
        </w:rPr>
        <w:t>un importante piano di</w:t>
      </w:r>
      <w:r w:rsidRPr="00BB06AB">
        <w:rPr>
          <w:rFonts w:ascii="Times New Roman" w:hAnsi="Times New Roman" w:cs="Times New Roman"/>
        </w:rPr>
        <w:t xml:space="preserve"> riforma dell’assistenza territoriale e costituisce il punto di partenza per ridefinire obiettivi, funzioni e servizi delle strutture territoriali, oltre a un ripensamento di ruoli e responsabilità dei professionisti</w:t>
      </w:r>
      <w:r w:rsidR="00552E9F">
        <w:rPr>
          <w:rFonts w:ascii="Times New Roman" w:hAnsi="Times New Roman" w:cs="Times New Roman"/>
        </w:rPr>
        <w:t>. Tuttavia, m</w:t>
      </w:r>
      <w:r w:rsidRPr="00BB06AB">
        <w:rPr>
          <w:rFonts w:ascii="Times New Roman" w:hAnsi="Times New Roman" w:cs="Times New Roman"/>
        </w:rPr>
        <w:t xml:space="preserve">entre su alcuni aspetti (ad esempio gli standard di popolazione per le infrastrutture di servizio territoriale e gli obiettivi di massima), il </w:t>
      </w:r>
      <w:r>
        <w:rPr>
          <w:rFonts w:ascii="Times New Roman" w:hAnsi="Times New Roman" w:cs="Times New Roman"/>
        </w:rPr>
        <w:t>documento</w:t>
      </w:r>
      <w:r w:rsidRPr="00BB06AB">
        <w:rPr>
          <w:rFonts w:ascii="Times New Roman" w:hAnsi="Times New Roman" w:cs="Times New Roman"/>
        </w:rPr>
        <w:t xml:space="preserve"> indica chiaramente gli elementi da ritenere obbligatori e che le Regioni sono tenute ad implementare, su molte altre aree di programmazione il decisore nazionale lascia spazio di azione alle autonomie locali. </w:t>
      </w:r>
    </w:p>
    <w:p w14:paraId="727D4DAD" w14:textId="6C993A4B" w:rsidR="004A0323" w:rsidRDefault="004A0323" w:rsidP="004A0323">
      <w:pPr>
        <w:spacing w:after="0" w:line="240" w:lineRule="auto"/>
        <w:jc w:val="both"/>
        <w:rPr>
          <w:rFonts w:ascii="Times New Roman" w:hAnsi="Times New Roman" w:cs="Times New Roman"/>
        </w:rPr>
      </w:pPr>
      <w:r w:rsidRPr="00BB06AB">
        <w:rPr>
          <w:rFonts w:ascii="Times New Roman" w:hAnsi="Times New Roman" w:cs="Times New Roman"/>
        </w:rPr>
        <w:t>Si profila quindi uno scenario in cui, a fronte di alcune specifiche indicazioni ministeriali</w:t>
      </w:r>
      <w:r w:rsidR="00552E9F">
        <w:rPr>
          <w:rFonts w:ascii="Times New Roman" w:hAnsi="Times New Roman" w:cs="Times New Roman"/>
        </w:rPr>
        <w:t xml:space="preserve">, molte </w:t>
      </w:r>
      <w:r w:rsidRPr="00BB06AB">
        <w:rPr>
          <w:rFonts w:ascii="Times New Roman" w:hAnsi="Times New Roman" w:cs="Times New Roman"/>
        </w:rPr>
        <w:t>sono le questioni la cui definizione viene demandata alle Regioni</w:t>
      </w:r>
      <w:r w:rsidR="00753618">
        <w:rPr>
          <w:rFonts w:ascii="Times New Roman" w:hAnsi="Times New Roman" w:cs="Times New Roman"/>
        </w:rPr>
        <w:t xml:space="preserve"> o</w:t>
      </w:r>
      <w:r w:rsidRPr="00BB06AB">
        <w:rPr>
          <w:rFonts w:ascii="Times New Roman" w:hAnsi="Times New Roman" w:cs="Times New Roman"/>
        </w:rPr>
        <w:t xml:space="preserve"> alle ASL, sulle quali si richiede ai </w:t>
      </w:r>
      <w:r w:rsidRPr="00BB06AB">
        <w:rPr>
          <w:rFonts w:ascii="Times New Roman" w:hAnsi="Times New Roman" w:cs="Times New Roman"/>
          <w:i/>
        </w:rPr>
        <w:t>policy maker</w:t>
      </w:r>
      <w:r w:rsidRPr="00BB06AB">
        <w:rPr>
          <w:rFonts w:ascii="Times New Roman" w:hAnsi="Times New Roman" w:cs="Times New Roman"/>
        </w:rPr>
        <w:t xml:space="preserve"> locali una riflessione puntuale e contestualizzata. </w:t>
      </w:r>
      <w:r w:rsidR="00753618">
        <w:rPr>
          <w:rFonts w:ascii="Times New Roman" w:hAnsi="Times New Roman" w:cs="Times New Roman"/>
        </w:rPr>
        <w:t>I</w:t>
      </w:r>
      <w:r>
        <w:rPr>
          <w:rFonts w:ascii="Times New Roman" w:hAnsi="Times New Roman" w:cs="Times New Roman"/>
        </w:rPr>
        <w:t>n questo contesto g</w:t>
      </w:r>
      <w:r w:rsidRPr="002F48DD">
        <w:rPr>
          <w:rFonts w:ascii="Times New Roman" w:hAnsi="Times New Roman" w:cs="Times New Roman"/>
        </w:rPr>
        <w:t xml:space="preserve">li spazi di autonomia </w:t>
      </w:r>
      <w:r>
        <w:rPr>
          <w:rFonts w:ascii="Times New Roman" w:hAnsi="Times New Roman" w:cs="Times New Roman"/>
        </w:rPr>
        <w:t>diventano</w:t>
      </w:r>
      <w:r w:rsidRPr="002F48DD">
        <w:rPr>
          <w:rFonts w:ascii="Times New Roman" w:hAnsi="Times New Roman" w:cs="Times New Roman"/>
        </w:rPr>
        <w:t xml:space="preserve"> un’occasione per il decisore regionale </w:t>
      </w:r>
      <w:r>
        <w:rPr>
          <w:rFonts w:ascii="Times New Roman" w:hAnsi="Times New Roman" w:cs="Times New Roman"/>
        </w:rPr>
        <w:t xml:space="preserve">o aziendale </w:t>
      </w:r>
      <w:r w:rsidRPr="002F48DD">
        <w:rPr>
          <w:rFonts w:ascii="Times New Roman" w:hAnsi="Times New Roman" w:cs="Times New Roman"/>
        </w:rPr>
        <w:t>di innovare e riformare strategicamente l’intero sistema di assistenza territoriale</w:t>
      </w:r>
      <w:r>
        <w:rPr>
          <w:rFonts w:ascii="Times New Roman" w:hAnsi="Times New Roman" w:cs="Times New Roman"/>
        </w:rPr>
        <w:t xml:space="preserve"> regionale, coerentemente con la propria cultura e le proprie strategie per il futuro</w:t>
      </w:r>
      <w:r w:rsidRPr="002F48DD">
        <w:rPr>
          <w:rFonts w:ascii="Times New Roman" w:hAnsi="Times New Roman" w:cs="Times New Roman"/>
        </w:rPr>
        <w:t>.</w:t>
      </w:r>
    </w:p>
    <w:p w14:paraId="61A7CED2" w14:textId="076DFC19" w:rsidR="00921223" w:rsidRDefault="004A0323" w:rsidP="00921223">
      <w:pPr>
        <w:pStyle w:val="Nessunaspaziatura"/>
        <w:jc w:val="both"/>
        <w:rPr>
          <w:rFonts w:ascii="Times New Roman" w:hAnsi="Times New Roman" w:cs="Times New Roman"/>
        </w:rPr>
      </w:pPr>
      <w:r>
        <w:rPr>
          <w:rFonts w:ascii="Times New Roman" w:hAnsi="Times New Roman" w:cs="Times New Roman"/>
        </w:rPr>
        <w:t>In questo articolo ve</w:t>
      </w:r>
      <w:r w:rsidR="00753618">
        <w:rPr>
          <w:rFonts w:ascii="Times New Roman" w:hAnsi="Times New Roman" w:cs="Times New Roman"/>
        </w:rPr>
        <w:t>ngono</w:t>
      </w:r>
      <w:r>
        <w:rPr>
          <w:rFonts w:ascii="Times New Roman" w:hAnsi="Times New Roman" w:cs="Times New Roman"/>
        </w:rPr>
        <w:t xml:space="preserve"> presentati quattro spazi di autonomia, selezionati fra gli altri perché ritenuti strategici e poco esplorati, da sottoporre al policy maker regionale e aziendale</w:t>
      </w:r>
      <w:r w:rsidR="00921223">
        <w:rPr>
          <w:rFonts w:ascii="Times New Roman" w:hAnsi="Times New Roman" w:cs="Times New Roman"/>
        </w:rPr>
        <w:t xml:space="preserve">: </w:t>
      </w:r>
      <w:r w:rsidR="00552E9F">
        <w:rPr>
          <w:rFonts w:ascii="Times New Roman" w:hAnsi="Times New Roman" w:cs="Times New Roman"/>
        </w:rPr>
        <w:t xml:space="preserve">(i) </w:t>
      </w:r>
      <w:r>
        <w:rPr>
          <w:rFonts w:ascii="Times New Roman" w:hAnsi="Times New Roman" w:cs="Times New Roman"/>
        </w:rPr>
        <w:t xml:space="preserve">modalità di gestione della sanità di iniziativa, </w:t>
      </w:r>
      <w:r w:rsidR="00552E9F">
        <w:rPr>
          <w:rFonts w:ascii="Times New Roman" w:hAnsi="Times New Roman" w:cs="Times New Roman"/>
        </w:rPr>
        <w:t xml:space="preserve">(ii) </w:t>
      </w:r>
      <w:r>
        <w:rPr>
          <w:rFonts w:ascii="Times New Roman" w:hAnsi="Times New Roman" w:cs="Times New Roman"/>
        </w:rPr>
        <w:t xml:space="preserve">le forme di accesso e CRM, </w:t>
      </w:r>
      <w:r w:rsidR="00552E9F">
        <w:rPr>
          <w:rFonts w:ascii="Times New Roman" w:hAnsi="Times New Roman" w:cs="Times New Roman"/>
        </w:rPr>
        <w:t xml:space="preserve">(iii) </w:t>
      </w:r>
      <w:r>
        <w:rPr>
          <w:rFonts w:ascii="Times New Roman" w:hAnsi="Times New Roman" w:cs="Times New Roman"/>
        </w:rPr>
        <w:t xml:space="preserve">l’assetto organizzativo del territorio, </w:t>
      </w:r>
      <w:r w:rsidR="00552E9F">
        <w:rPr>
          <w:rFonts w:ascii="Times New Roman" w:hAnsi="Times New Roman" w:cs="Times New Roman"/>
        </w:rPr>
        <w:t xml:space="preserve">(iv) </w:t>
      </w:r>
      <w:r>
        <w:rPr>
          <w:rFonts w:ascii="Times New Roman" w:hAnsi="Times New Roman" w:cs="Times New Roman"/>
        </w:rPr>
        <w:t xml:space="preserve">i modelli di presa in carico della cronicità. </w:t>
      </w:r>
      <w:r w:rsidR="00921223">
        <w:rPr>
          <w:rFonts w:ascii="Times New Roman" w:hAnsi="Times New Roman" w:cs="Times New Roman"/>
        </w:rPr>
        <w:t>Per ciascuna area tematica ve</w:t>
      </w:r>
      <w:r w:rsidR="00726877">
        <w:rPr>
          <w:rFonts w:ascii="Times New Roman" w:hAnsi="Times New Roman" w:cs="Times New Roman"/>
        </w:rPr>
        <w:t>ngono</w:t>
      </w:r>
      <w:r w:rsidR="00921223">
        <w:rPr>
          <w:rFonts w:ascii="Times New Roman" w:hAnsi="Times New Roman" w:cs="Times New Roman"/>
        </w:rPr>
        <w:t xml:space="preserve"> illustrati alcuni </w:t>
      </w:r>
      <w:r w:rsidR="00921223" w:rsidRPr="00921223">
        <w:rPr>
          <w:rFonts w:ascii="Times New Roman" w:hAnsi="Times New Roman" w:cs="Times New Roman"/>
          <w:i/>
        </w:rPr>
        <w:t>trade off</w:t>
      </w:r>
      <w:r w:rsidR="00921223">
        <w:rPr>
          <w:rFonts w:ascii="Times New Roman" w:hAnsi="Times New Roman" w:cs="Times New Roman"/>
        </w:rPr>
        <w:t xml:space="preserve">, che impongono di essere popolati di riflessioni e decisioni. </w:t>
      </w:r>
    </w:p>
    <w:p w14:paraId="111C619B" w14:textId="77777777" w:rsidR="004B0463" w:rsidRDefault="004B0463" w:rsidP="003E75BA">
      <w:pPr>
        <w:pStyle w:val="Nessunaspaziatura"/>
        <w:jc w:val="both"/>
        <w:rPr>
          <w:rFonts w:ascii="Times New Roman" w:hAnsi="Times New Roman" w:cs="Times New Roman"/>
        </w:rPr>
      </w:pPr>
    </w:p>
    <w:p w14:paraId="3E2BC0E2" w14:textId="7116F4D5" w:rsidR="004B0463" w:rsidRPr="009B7C87" w:rsidRDefault="00921223" w:rsidP="004B0463">
      <w:pPr>
        <w:pStyle w:val="Nessunaspaziatura"/>
        <w:jc w:val="both"/>
        <w:rPr>
          <w:rFonts w:ascii="Times New Roman" w:hAnsi="Times New Roman" w:cs="Times New Roman"/>
        </w:rPr>
      </w:pPr>
      <w:r w:rsidRPr="002F48DD">
        <w:rPr>
          <w:rFonts w:ascii="Times New Roman" w:hAnsi="Times New Roman" w:cs="Times New Roman"/>
        </w:rPr>
        <w:t xml:space="preserve">Contrapponendosi alla medicina di attesa, </w:t>
      </w:r>
      <w:r w:rsidR="00552E9F">
        <w:rPr>
          <w:rFonts w:ascii="Times New Roman" w:hAnsi="Times New Roman" w:cs="Times New Roman"/>
        </w:rPr>
        <w:t xml:space="preserve">basata su logiche </w:t>
      </w:r>
      <w:r w:rsidR="009B7C87">
        <w:rPr>
          <w:rFonts w:ascii="Times New Roman" w:hAnsi="Times New Roman" w:cs="Times New Roman"/>
        </w:rPr>
        <w:t>“</w:t>
      </w:r>
      <w:r w:rsidRPr="002F48DD">
        <w:rPr>
          <w:rFonts w:ascii="Times New Roman" w:hAnsi="Times New Roman" w:cs="Times New Roman"/>
          <w:i/>
        </w:rPr>
        <w:t>on demand</w:t>
      </w:r>
      <w:r w:rsidR="009B7C87">
        <w:rPr>
          <w:rFonts w:ascii="Times New Roman" w:hAnsi="Times New Roman" w:cs="Times New Roman"/>
          <w:i/>
        </w:rPr>
        <w:t>”</w:t>
      </w:r>
      <w:r w:rsidRPr="002F48DD">
        <w:rPr>
          <w:rFonts w:ascii="Times New Roman" w:hAnsi="Times New Roman" w:cs="Times New Roman"/>
        </w:rPr>
        <w:t>, la sanità d’iniziativa interviene sulla popolazione stratificandola e studiandone i dati aggregati in modo da individuare i target di cittadini</w:t>
      </w:r>
      <w:r w:rsidR="009B7C87">
        <w:rPr>
          <w:rFonts w:ascii="Times New Roman" w:hAnsi="Times New Roman" w:cs="Times New Roman"/>
        </w:rPr>
        <w:t xml:space="preserve"> </w:t>
      </w:r>
      <w:r w:rsidRPr="002F48DD">
        <w:rPr>
          <w:rFonts w:ascii="Times New Roman" w:hAnsi="Times New Roman" w:cs="Times New Roman"/>
        </w:rPr>
        <w:t xml:space="preserve">da coinvolgere in modo proattivo. </w:t>
      </w:r>
      <w:r w:rsidR="004B0463">
        <w:rPr>
          <w:rFonts w:ascii="Times New Roman" w:hAnsi="Times New Roman" w:cs="Times New Roman"/>
          <w:color w:val="000000" w:themeColor="text1"/>
        </w:rPr>
        <w:t xml:space="preserve">Il </w:t>
      </w:r>
      <w:r w:rsidR="00552E9F">
        <w:rPr>
          <w:rFonts w:ascii="Times New Roman" w:hAnsi="Times New Roman" w:cs="Times New Roman"/>
          <w:color w:val="000000" w:themeColor="text1"/>
        </w:rPr>
        <w:t>DM77</w:t>
      </w:r>
      <w:r w:rsidR="004B0463">
        <w:rPr>
          <w:rFonts w:ascii="Times New Roman" w:hAnsi="Times New Roman" w:cs="Times New Roman"/>
          <w:color w:val="000000" w:themeColor="text1"/>
        </w:rPr>
        <w:t xml:space="preserve"> definisce quali sono i setting privilegiati per le iniziative (</w:t>
      </w:r>
      <w:proofErr w:type="spellStart"/>
      <w:r w:rsidR="004B0463">
        <w:rPr>
          <w:rFonts w:ascii="Times New Roman" w:hAnsi="Times New Roman" w:cs="Times New Roman"/>
          <w:color w:val="000000" w:themeColor="text1"/>
        </w:rPr>
        <w:t>CdC</w:t>
      </w:r>
      <w:proofErr w:type="spellEnd"/>
      <w:r w:rsidR="004B0463">
        <w:rPr>
          <w:rFonts w:ascii="Times New Roman" w:hAnsi="Times New Roman" w:cs="Times New Roman"/>
          <w:color w:val="000000" w:themeColor="text1"/>
        </w:rPr>
        <w:t>), quali attori sono responsabili delle strategie (</w:t>
      </w:r>
      <w:r w:rsidR="004B0463">
        <w:rPr>
          <w:rFonts w:ascii="Times New Roman" w:hAnsi="Times New Roman" w:cs="Times New Roman"/>
        </w:rPr>
        <w:t xml:space="preserve">le </w:t>
      </w:r>
      <w:r w:rsidR="004B0463" w:rsidRPr="002F48DD">
        <w:rPr>
          <w:rFonts w:ascii="Times New Roman" w:hAnsi="Times New Roman" w:cs="Times New Roman"/>
          <w:color w:val="000000" w:themeColor="text1"/>
        </w:rPr>
        <w:t>Aggregazioni Funzionali Territoriali dei</w:t>
      </w:r>
      <w:r w:rsidR="004B0463">
        <w:rPr>
          <w:rFonts w:ascii="Times New Roman" w:hAnsi="Times New Roman" w:cs="Times New Roman"/>
          <w:color w:val="000000" w:themeColor="text1"/>
        </w:rPr>
        <w:t xml:space="preserve"> MMG, i PLS, le </w:t>
      </w:r>
      <w:r w:rsidR="004B0463" w:rsidRPr="002F48DD">
        <w:rPr>
          <w:rFonts w:ascii="Times New Roman" w:hAnsi="Times New Roman" w:cs="Times New Roman"/>
          <w:color w:val="000000" w:themeColor="text1"/>
        </w:rPr>
        <w:t xml:space="preserve">UCCP in collaborazione con </w:t>
      </w:r>
      <w:r w:rsidR="004B0463">
        <w:rPr>
          <w:rFonts w:ascii="Times New Roman" w:hAnsi="Times New Roman" w:cs="Times New Roman"/>
          <w:color w:val="000000" w:themeColor="text1"/>
        </w:rPr>
        <w:t xml:space="preserve">gli </w:t>
      </w:r>
      <w:proofErr w:type="spellStart"/>
      <w:r w:rsidR="004B0463" w:rsidRPr="002F48DD">
        <w:rPr>
          <w:rFonts w:ascii="Times New Roman" w:hAnsi="Times New Roman" w:cs="Times New Roman"/>
          <w:color w:val="000000" w:themeColor="text1"/>
        </w:rPr>
        <w:t>I</w:t>
      </w:r>
      <w:r w:rsidR="004B0463">
        <w:rPr>
          <w:rFonts w:ascii="Times New Roman" w:hAnsi="Times New Roman" w:cs="Times New Roman"/>
          <w:color w:val="000000" w:themeColor="text1"/>
        </w:rPr>
        <w:t>FoC</w:t>
      </w:r>
      <w:proofErr w:type="spellEnd"/>
      <w:r w:rsidR="004B0463">
        <w:rPr>
          <w:rFonts w:ascii="Times New Roman" w:hAnsi="Times New Roman" w:cs="Times New Roman"/>
          <w:color w:val="000000" w:themeColor="text1"/>
        </w:rPr>
        <w:t xml:space="preserve">) e quali strumenti attivare (ad es. la presa in carico proattiva, </w:t>
      </w:r>
      <w:r w:rsidR="004B0463" w:rsidRPr="002F48DD">
        <w:rPr>
          <w:rFonts w:ascii="Times New Roman" w:hAnsi="Times New Roman" w:cs="Times New Roman"/>
          <w:color w:val="000000" w:themeColor="text1"/>
        </w:rPr>
        <w:t>l’educazione ai corretti stili di vit</w:t>
      </w:r>
      <w:r w:rsidR="009356CA">
        <w:rPr>
          <w:rFonts w:ascii="Times New Roman" w:hAnsi="Times New Roman" w:cs="Times New Roman"/>
          <w:color w:val="000000" w:themeColor="text1"/>
        </w:rPr>
        <w:t xml:space="preserve">a e </w:t>
      </w:r>
      <w:r w:rsidR="004B0463" w:rsidRPr="002F48DD">
        <w:rPr>
          <w:rFonts w:ascii="Times New Roman" w:hAnsi="Times New Roman" w:cs="Times New Roman"/>
          <w:color w:val="000000" w:themeColor="text1"/>
        </w:rPr>
        <w:t>la programmazione delle attività di assistenza,</w:t>
      </w:r>
      <w:r w:rsidR="004B0463">
        <w:rPr>
          <w:rFonts w:ascii="Times New Roman" w:hAnsi="Times New Roman" w:cs="Times New Roman"/>
          <w:color w:val="000000" w:themeColor="text1"/>
        </w:rPr>
        <w:t xml:space="preserve">) ma lascia </w:t>
      </w:r>
      <w:r w:rsidR="009B7C87">
        <w:rPr>
          <w:rFonts w:ascii="Times New Roman" w:hAnsi="Times New Roman" w:cs="Times New Roman"/>
          <w:color w:val="000000" w:themeColor="text1"/>
        </w:rPr>
        <w:t xml:space="preserve">sul tavolo </w:t>
      </w:r>
      <w:r w:rsidR="004B0463">
        <w:rPr>
          <w:rFonts w:ascii="Times New Roman" w:hAnsi="Times New Roman" w:cs="Times New Roman"/>
          <w:color w:val="000000" w:themeColor="text1"/>
        </w:rPr>
        <w:t xml:space="preserve">alcune aree di indeterminatezza, fra cui sono state individuati quattro </w:t>
      </w:r>
      <w:r w:rsidR="004B0463" w:rsidRPr="008D7722">
        <w:rPr>
          <w:rFonts w:ascii="Times New Roman" w:hAnsi="Times New Roman" w:cs="Times New Roman"/>
          <w:i/>
          <w:color w:val="000000" w:themeColor="text1"/>
        </w:rPr>
        <w:t>trade off</w:t>
      </w:r>
      <w:r w:rsidR="004B0463">
        <w:rPr>
          <w:rFonts w:ascii="Times New Roman" w:hAnsi="Times New Roman" w:cs="Times New Roman"/>
          <w:color w:val="000000" w:themeColor="text1"/>
        </w:rPr>
        <w:t xml:space="preserve"> di policy</w:t>
      </w:r>
      <w:r w:rsidR="009356CA">
        <w:rPr>
          <w:rFonts w:ascii="Times New Roman" w:hAnsi="Times New Roman" w:cs="Times New Roman"/>
          <w:color w:val="000000" w:themeColor="text1"/>
        </w:rPr>
        <w:t xml:space="preserve">. </w:t>
      </w:r>
    </w:p>
    <w:p w14:paraId="4648498F" w14:textId="3DA6B236" w:rsidR="004B0463" w:rsidRDefault="004B0463" w:rsidP="004B0463">
      <w:pPr>
        <w:pStyle w:val="Nessunaspaziatura"/>
        <w:jc w:val="both"/>
        <w:rPr>
          <w:rFonts w:ascii="Times New Roman" w:hAnsi="Times New Roman" w:cs="Times New Roman"/>
        </w:rPr>
      </w:pPr>
      <w:r w:rsidRPr="002F48DD">
        <w:rPr>
          <w:rFonts w:ascii="Times New Roman" w:hAnsi="Times New Roman" w:cs="Times New Roman"/>
        </w:rPr>
        <w:t xml:space="preserve">Il primo concerne la decisione di </w:t>
      </w:r>
      <w:r w:rsidRPr="00AE0304">
        <w:rPr>
          <w:rFonts w:ascii="Times New Roman" w:hAnsi="Times New Roman" w:cs="Times New Roman"/>
          <w:i/>
        </w:rPr>
        <w:t>chi si occuperà di stratificare i pazienti cronici utilizzando i big data</w:t>
      </w:r>
      <w:r w:rsidRPr="002F48DD">
        <w:rPr>
          <w:rFonts w:ascii="Times New Roman" w:hAnsi="Times New Roman" w:cs="Times New Roman"/>
        </w:rPr>
        <w:t xml:space="preserve">. Se ad occuparsene sarà la Regione, le logiche e le metriche di costruzione dell’algoritmo di stratificazione saranno </w:t>
      </w:r>
      <w:r>
        <w:rPr>
          <w:rFonts w:ascii="Times New Roman" w:hAnsi="Times New Roman" w:cs="Times New Roman"/>
        </w:rPr>
        <w:t>uniformi per tutte le aziende del SSR, ma le competenze di analisi e valorizzazione dei dati si svilupperanno soprattutto a livello centrale, rendendo più debole il loro utilizzo a livello locale.</w:t>
      </w:r>
      <w:r w:rsidRPr="002F48DD">
        <w:rPr>
          <w:rFonts w:ascii="Times New Roman" w:hAnsi="Times New Roman" w:cs="Times New Roman"/>
        </w:rPr>
        <w:t xml:space="preserve"> </w:t>
      </w:r>
      <w:r w:rsidR="009B7C87">
        <w:rPr>
          <w:rFonts w:ascii="Times New Roman" w:hAnsi="Times New Roman" w:cs="Times New Roman"/>
        </w:rPr>
        <w:t>La</w:t>
      </w:r>
      <w:r w:rsidRPr="002F48DD">
        <w:rPr>
          <w:rFonts w:ascii="Times New Roman" w:hAnsi="Times New Roman" w:cs="Times New Roman"/>
        </w:rPr>
        <w:t xml:space="preserve"> seconda decisione programmatoria riguarda</w:t>
      </w:r>
      <w:r w:rsidR="009B7C87">
        <w:rPr>
          <w:rFonts w:ascii="Times New Roman" w:hAnsi="Times New Roman" w:cs="Times New Roman"/>
        </w:rPr>
        <w:t xml:space="preserve"> invece</w:t>
      </w:r>
      <w:r w:rsidRPr="002F48DD">
        <w:rPr>
          <w:rFonts w:ascii="Times New Roman" w:hAnsi="Times New Roman" w:cs="Times New Roman"/>
        </w:rPr>
        <w:t xml:space="preserve"> </w:t>
      </w:r>
      <w:r>
        <w:rPr>
          <w:rFonts w:ascii="Times New Roman" w:hAnsi="Times New Roman" w:cs="Times New Roman"/>
        </w:rPr>
        <w:t xml:space="preserve">la responsabilità sulla </w:t>
      </w:r>
      <w:r w:rsidRPr="00AE0304">
        <w:rPr>
          <w:rFonts w:ascii="Times New Roman" w:hAnsi="Times New Roman" w:cs="Times New Roman"/>
          <w:i/>
        </w:rPr>
        <w:t xml:space="preserve">definizione dei target da reclutare </w:t>
      </w:r>
      <w:r>
        <w:rPr>
          <w:rFonts w:ascii="Times New Roman" w:hAnsi="Times New Roman" w:cs="Times New Roman"/>
          <w:i/>
        </w:rPr>
        <w:t xml:space="preserve">prioritariamente </w:t>
      </w:r>
      <w:r w:rsidRPr="00AE0304">
        <w:rPr>
          <w:rFonts w:ascii="Times New Roman" w:hAnsi="Times New Roman" w:cs="Times New Roman"/>
          <w:i/>
        </w:rPr>
        <w:t>dagli elenchi dei pazienti stratificati</w:t>
      </w:r>
      <w:r w:rsidRPr="002F48DD">
        <w:rPr>
          <w:rFonts w:ascii="Times New Roman" w:hAnsi="Times New Roman" w:cs="Times New Roman"/>
        </w:rPr>
        <w:t xml:space="preserve">. Una possibile rosa di opzioni potrebbe essere fra </w:t>
      </w:r>
      <w:r>
        <w:rPr>
          <w:rFonts w:ascii="Times New Roman" w:hAnsi="Times New Roman" w:cs="Times New Roman"/>
        </w:rPr>
        <w:t>la Direzione Strategica</w:t>
      </w:r>
      <w:r w:rsidRPr="002F48DD">
        <w:rPr>
          <w:rFonts w:ascii="Times New Roman" w:hAnsi="Times New Roman" w:cs="Times New Roman"/>
        </w:rPr>
        <w:t>, il Direttore di Distretto o il Direttore delle Cure Primarie</w:t>
      </w:r>
      <w:bookmarkStart w:id="0" w:name="_Hlk115875251"/>
      <w:r w:rsidR="009356CA">
        <w:rPr>
          <w:rFonts w:ascii="Times New Roman" w:hAnsi="Times New Roman" w:cs="Times New Roman"/>
        </w:rPr>
        <w:t xml:space="preserve">, sollecitando </w:t>
      </w:r>
      <w:r w:rsidR="009B7C87">
        <w:rPr>
          <w:rFonts w:ascii="Times New Roman" w:hAnsi="Times New Roman" w:cs="Times New Roman"/>
        </w:rPr>
        <w:t>la partecipazione di stakeholder diversi</w:t>
      </w:r>
      <w:bookmarkEnd w:id="0"/>
      <w:r w:rsidR="008057E1">
        <w:rPr>
          <w:rFonts w:ascii="Times New Roman" w:hAnsi="Times New Roman" w:cs="Times New Roman"/>
        </w:rPr>
        <w:t xml:space="preserve">. </w:t>
      </w:r>
      <w:r w:rsidRPr="002F48DD">
        <w:rPr>
          <w:rFonts w:ascii="Times New Roman" w:hAnsi="Times New Roman" w:cs="Times New Roman"/>
        </w:rPr>
        <w:t xml:space="preserve">Altre questioni, </w:t>
      </w:r>
      <w:r>
        <w:rPr>
          <w:rFonts w:ascii="Times New Roman" w:hAnsi="Times New Roman" w:cs="Times New Roman"/>
        </w:rPr>
        <w:t>più organizzativ</w:t>
      </w:r>
      <w:r w:rsidR="008057E1">
        <w:rPr>
          <w:rFonts w:ascii="Times New Roman" w:hAnsi="Times New Roman" w:cs="Times New Roman"/>
        </w:rPr>
        <w:t>e</w:t>
      </w:r>
      <w:r w:rsidRPr="002F48DD">
        <w:rPr>
          <w:rFonts w:ascii="Times New Roman" w:hAnsi="Times New Roman" w:cs="Times New Roman"/>
        </w:rPr>
        <w:t>, riguardano l</w:t>
      </w:r>
      <w:r>
        <w:rPr>
          <w:rFonts w:ascii="Times New Roman" w:hAnsi="Times New Roman" w:cs="Times New Roman"/>
        </w:rPr>
        <w:t>’individuazione</w:t>
      </w:r>
      <w:r w:rsidRPr="002F48DD">
        <w:rPr>
          <w:rFonts w:ascii="Times New Roman" w:hAnsi="Times New Roman" w:cs="Times New Roman"/>
        </w:rPr>
        <w:t xml:space="preserve"> </w:t>
      </w:r>
      <w:r w:rsidRPr="00AE0304">
        <w:rPr>
          <w:rFonts w:ascii="Times New Roman" w:hAnsi="Times New Roman" w:cs="Times New Roman"/>
          <w:i/>
        </w:rPr>
        <w:t>d</w:t>
      </w:r>
      <w:r>
        <w:rPr>
          <w:rFonts w:ascii="Times New Roman" w:hAnsi="Times New Roman" w:cs="Times New Roman"/>
          <w:i/>
        </w:rPr>
        <w:t>e</w:t>
      </w:r>
      <w:r w:rsidRPr="00AE0304">
        <w:rPr>
          <w:rFonts w:ascii="Times New Roman" w:hAnsi="Times New Roman" w:cs="Times New Roman"/>
          <w:i/>
        </w:rPr>
        <w:t>i responsabili della conduzione del processo di reclutamento</w:t>
      </w:r>
      <w:r w:rsidRPr="002F48DD">
        <w:rPr>
          <w:rFonts w:ascii="Times New Roman" w:hAnsi="Times New Roman" w:cs="Times New Roman"/>
        </w:rPr>
        <w:t>. La scelta potrebbe ricadere sull’</w:t>
      </w:r>
      <w:proofErr w:type="spellStart"/>
      <w:r w:rsidRPr="002F48DD">
        <w:rPr>
          <w:rFonts w:ascii="Times New Roman" w:hAnsi="Times New Roman" w:cs="Times New Roman"/>
        </w:rPr>
        <w:t>IFoC</w:t>
      </w:r>
      <w:proofErr w:type="spellEnd"/>
      <w:r w:rsidRPr="002F48DD">
        <w:rPr>
          <w:rFonts w:ascii="Times New Roman" w:hAnsi="Times New Roman" w:cs="Times New Roman"/>
        </w:rPr>
        <w:t xml:space="preserve">, oppure potrebbe essere ritenuto più efficace fare leva </w:t>
      </w:r>
      <w:r>
        <w:rPr>
          <w:rFonts w:ascii="Times New Roman" w:hAnsi="Times New Roman" w:cs="Times New Roman"/>
        </w:rPr>
        <w:t xml:space="preserve">sul </w:t>
      </w:r>
      <w:r w:rsidRPr="002F48DD">
        <w:rPr>
          <w:rFonts w:ascii="Times New Roman" w:hAnsi="Times New Roman" w:cs="Times New Roman"/>
        </w:rPr>
        <w:t>sollecito da parte del MMG</w:t>
      </w:r>
      <w:r w:rsidR="008057E1">
        <w:rPr>
          <w:rFonts w:ascii="Times New Roman" w:hAnsi="Times New Roman" w:cs="Times New Roman"/>
        </w:rPr>
        <w:t>. L</w:t>
      </w:r>
      <w:r w:rsidRPr="002F48DD">
        <w:rPr>
          <w:rFonts w:ascii="Times New Roman" w:hAnsi="Times New Roman" w:cs="Times New Roman"/>
        </w:rPr>
        <w:t xml:space="preserve">e iniziative possono </w:t>
      </w:r>
      <w:r w:rsidR="008057E1">
        <w:rPr>
          <w:rFonts w:ascii="Times New Roman" w:hAnsi="Times New Roman" w:cs="Times New Roman"/>
        </w:rPr>
        <w:t xml:space="preserve">anche </w:t>
      </w:r>
      <w:r w:rsidRPr="002F48DD">
        <w:rPr>
          <w:rFonts w:ascii="Times New Roman" w:hAnsi="Times New Roman" w:cs="Times New Roman"/>
        </w:rPr>
        <w:t xml:space="preserve">essere organizzate in occasione di giornate di screening </w:t>
      </w:r>
      <w:r w:rsidR="008057E1">
        <w:rPr>
          <w:rFonts w:ascii="Times New Roman" w:hAnsi="Times New Roman" w:cs="Times New Roman"/>
        </w:rPr>
        <w:t>o</w:t>
      </w:r>
      <w:r w:rsidRPr="002F48DD">
        <w:rPr>
          <w:rFonts w:ascii="Times New Roman" w:hAnsi="Times New Roman" w:cs="Times New Roman"/>
        </w:rPr>
        <w:t xml:space="preserve"> </w:t>
      </w:r>
      <w:r w:rsidR="008057E1">
        <w:rPr>
          <w:rFonts w:ascii="Times New Roman" w:hAnsi="Times New Roman" w:cs="Times New Roman"/>
        </w:rPr>
        <w:t>venire</w:t>
      </w:r>
      <w:r w:rsidRPr="002F48DD">
        <w:rPr>
          <w:rFonts w:ascii="Times New Roman" w:hAnsi="Times New Roman" w:cs="Times New Roman"/>
        </w:rPr>
        <w:t xml:space="preserve"> </w:t>
      </w:r>
      <w:r>
        <w:rPr>
          <w:rFonts w:ascii="Times New Roman" w:hAnsi="Times New Roman" w:cs="Times New Roman"/>
        </w:rPr>
        <w:t>allargate a</w:t>
      </w:r>
      <w:r w:rsidRPr="002F48DD">
        <w:rPr>
          <w:rFonts w:ascii="Times New Roman" w:hAnsi="Times New Roman" w:cs="Times New Roman"/>
        </w:rPr>
        <w:t xml:space="preserve"> setting di cura come il Pronto Soccorso e l’Ospedale</w:t>
      </w:r>
      <w:r>
        <w:rPr>
          <w:rFonts w:ascii="Times New Roman" w:hAnsi="Times New Roman" w:cs="Times New Roman"/>
        </w:rPr>
        <w:t>, soprattutto tra i codici bianchi e verdi</w:t>
      </w:r>
      <w:r w:rsidRPr="002F48DD">
        <w:rPr>
          <w:rFonts w:ascii="Times New Roman" w:hAnsi="Times New Roman" w:cs="Times New Roman"/>
        </w:rPr>
        <w:t>. Un</w:t>
      </w:r>
      <w:r>
        <w:rPr>
          <w:rFonts w:ascii="Times New Roman" w:hAnsi="Times New Roman" w:cs="Times New Roman"/>
        </w:rPr>
        <w:t>’</w:t>
      </w:r>
      <w:r w:rsidR="008057E1" w:rsidRPr="002F48DD">
        <w:rPr>
          <w:rFonts w:ascii="Times New Roman" w:hAnsi="Times New Roman" w:cs="Times New Roman"/>
        </w:rPr>
        <w:t>ult</w:t>
      </w:r>
      <w:r w:rsidR="008057E1">
        <w:rPr>
          <w:rFonts w:ascii="Times New Roman" w:hAnsi="Times New Roman" w:cs="Times New Roman"/>
        </w:rPr>
        <w:t>ima</w:t>
      </w:r>
      <w:r w:rsidRPr="002F48DD">
        <w:rPr>
          <w:rFonts w:ascii="Times New Roman" w:hAnsi="Times New Roman" w:cs="Times New Roman"/>
        </w:rPr>
        <w:t xml:space="preserve"> r</w:t>
      </w:r>
      <w:r>
        <w:rPr>
          <w:rFonts w:ascii="Times New Roman" w:hAnsi="Times New Roman" w:cs="Times New Roman"/>
        </w:rPr>
        <w:t>iflessione riguarda l’identificazione dei</w:t>
      </w:r>
      <w:r w:rsidRPr="002F48DD">
        <w:rPr>
          <w:rFonts w:ascii="Times New Roman" w:hAnsi="Times New Roman" w:cs="Times New Roman"/>
        </w:rPr>
        <w:t xml:space="preserve"> </w:t>
      </w:r>
      <w:r w:rsidRPr="00AE0304">
        <w:rPr>
          <w:rFonts w:ascii="Times New Roman" w:hAnsi="Times New Roman" w:cs="Times New Roman"/>
          <w:i/>
        </w:rPr>
        <w:t>canali comunicativi da privilegiare per riuscire ad ingaggiare</w:t>
      </w:r>
      <w:r w:rsidRPr="002F48DD">
        <w:rPr>
          <w:rFonts w:ascii="Times New Roman" w:hAnsi="Times New Roman" w:cs="Times New Roman"/>
        </w:rPr>
        <w:t xml:space="preserve"> i cittadini</w:t>
      </w:r>
      <w:r>
        <w:rPr>
          <w:rFonts w:ascii="Times New Roman" w:hAnsi="Times New Roman" w:cs="Times New Roman"/>
        </w:rPr>
        <w:t>, differenziati per i diversi cluster di utenti</w:t>
      </w:r>
      <w:r w:rsidRPr="002F48DD">
        <w:rPr>
          <w:rFonts w:ascii="Times New Roman" w:hAnsi="Times New Roman" w:cs="Times New Roman"/>
        </w:rPr>
        <w:t xml:space="preserve">. Si potrebbe decidere di </w:t>
      </w:r>
      <w:r>
        <w:rPr>
          <w:rFonts w:ascii="Times New Roman" w:hAnsi="Times New Roman" w:cs="Times New Roman"/>
        </w:rPr>
        <w:t>utilizzare</w:t>
      </w:r>
      <w:r w:rsidRPr="002F48DD">
        <w:rPr>
          <w:rFonts w:ascii="Times New Roman" w:hAnsi="Times New Roman" w:cs="Times New Roman"/>
        </w:rPr>
        <w:t xml:space="preserve"> lettere spedite al domicilio, chiamate telefoniche, email, messaggi su </w:t>
      </w:r>
      <w:proofErr w:type="spellStart"/>
      <w:r w:rsidRPr="002F48DD">
        <w:rPr>
          <w:rFonts w:ascii="Times New Roman" w:hAnsi="Times New Roman" w:cs="Times New Roman"/>
        </w:rPr>
        <w:t>whatsapp</w:t>
      </w:r>
      <w:proofErr w:type="spellEnd"/>
      <w:r w:rsidRPr="002F48DD">
        <w:rPr>
          <w:rFonts w:ascii="Times New Roman" w:hAnsi="Times New Roman" w:cs="Times New Roman"/>
        </w:rPr>
        <w:t xml:space="preserve"> oppure privilegiare un contatto </w:t>
      </w:r>
      <w:r w:rsidRPr="00A7152A">
        <w:rPr>
          <w:rFonts w:ascii="Times New Roman" w:hAnsi="Times New Roman" w:cs="Times New Roman"/>
          <w:i/>
        </w:rPr>
        <w:t xml:space="preserve">de </w:t>
      </w:r>
      <w:proofErr w:type="spellStart"/>
      <w:r w:rsidRPr="00A7152A">
        <w:rPr>
          <w:rFonts w:ascii="Times New Roman" w:hAnsi="Times New Roman" w:cs="Times New Roman"/>
          <w:i/>
        </w:rPr>
        <w:t>visu</w:t>
      </w:r>
      <w:proofErr w:type="spellEnd"/>
      <w:r w:rsidRPr="002F48DD">
        <w:rPr>
          <w:rFonts w:ascii="Times New Roman" w:hAnsi="Times New Roman" w:cs="Times New Roman"/>
        </w:rPr>
        <w:t xml:space="preserve"> in uno dei punti di accesso ai servizi. </w:t>
      </w:r>
    </w:p>
    <w:p w14:paraId="7B69C669" w14:textId="23ED9CC9" w:rsidR="004247A9" w:rsidRDefault="004247A9" w:rsidP="004B0463">
      <w:pPr>
        <w:pStyle w:val="Nessunaspaziatura"/>
        <w:jc w:val="both"/>
        <w:rPr>
          <w:rFonts w:ascii="Times New Roman" w:hAnsi="Times New Roman" w:cs="Times New Roman"/>
        </w:rPr>
      </w:pPr>
    </w:p>
    <w:p w14:paraId="3C27C82A" w14:textId="1E3EBB61" w:rsidR="00532F13" w:rsidRDefault="004247A9" w:rsidP="00EB0AA6">
      <w:pPr>
        <w:pStyle w:val="Nessunaspaziatura"/>
        <w:jc w:val="both"/>
        <w:rPr>
          <w:rFonts w:ascii="Times New Roman" w:hAnsi="Times New Roman" w:cs="Times New Roman"/>
        </w:rPr>
      </w:pPr>
      <w:r w:rsidRPr="004247A9">
        <w:rPr>
          <w:rFonts w:ascii="Times New Roman" w:hAnsi="Times New Roman" w:cs="Times New Roman"/>
        </w:rPr>
        <w:t xml:space="preserve">Il secondo spazio di autonomia riguarda l’accesso ai servizi sanitari e il Customer Relation Management (CRM). </w:t>
      </w:r>
      <w:r w:rsidR="009B7C87" w:rsidRPr="004247A9">
        <w:rPr>
          <w:rFonts w:ascii="Times New Roman" w:hAnsi="Times New Roman" w:cs="Times New Roman"/>
        </w:rPr>
        <w:t xml:space="preserve">Il DM77 </w:t>
      </w:r>
      <w:r w:rsidR="00726877">
        <w:rPr>
          <w:rFonts w:ascii="Times New Roman" w:hAnsi="Times New Roman" w:cs="Times New Roman"/>
        </w:rPr>
        <w:t>propone</w:t>
      </w:r>
      <w:r w:rsidR="009B7C87" w:rsidRPr="004247A9">
        <w:rPr>
          <w:rFonts w:ascii="Times New Roman" w:hAnsi="Times New Roman" w:cs="Times New Roman"/>
        </w:rPr>
        <w:t xml:space="preserve"> diverse modalità di accesso ai servizi del territorio</w:t>
      </w:r>
      <w:r w:rsidRPr="004247A9">
        <w:rPr>
          <w:rFonts w:ascii="Times New Roman" w:hAnsi="Times New Roman" w:cs="Times New Roman"/>
        </w:rPr>
        <w:t xml:space="preserve"> (116117, Fascicolo Sanitario Elettronico, Punto Unico di Accesso </w:t>
      </w:r>
      <w:r w:rsidR="00EB0AA6">
        <w:rPr>
          <w:rFonts w:ascii="Times New Roman" w:hAnsi="Times New Roman" w:cs="Times New Roman"/>
        </w:rPr>
        <w:t xml:space="preserve">(PUA) </w:t>
      </w:r>
      <w:r w:rsidRPr="004247A9">
        <w:rPr>
          <w:rFonts w:ascii="Times New Roman" w:hAnsi="Times New Roman" w:cs="Times New Roman"/>
        </w:rPr>
        <w:t>fisico oppure MMG).</w:t>
      </w:r>
      <w:r>
        <w:rPr>
          <w:rFonts w:ascii="Times New Roman" w:hAnsi="Times New Roman" w:cs="Times New Roman"/>
        </w:rPr>
        <w:t xml:space="preserve"> A nostro giudizio, l</w:t>
      </w:r>
      <w:r w:rsidRPr="002F48DD">
        <w:rPr>
          <w:rFonts w:ascii="Times New Roman" w:hAnsi="Times New Roman" w:cs="Times New Roman"/>
        </w:rPr>
        <w:t xml:space="preserve">a diversificazione dei canali di accesso </w:t>
      </w:r>
      <w:r>
        <w:rPr>
          <w:rFonts w:ascii="Times New Roman" w:hAnsi="Times New Roman" w:cs="Times New Roman"/>
        </w:rPr>
        <w:t xml:space="preserve">e delle finalità </w:t>
      </w:r>
      <w:r w:rsidRPr="002F48DD">
        <w:rPr>
          <w:rFonts w:ascii="Times New Roman" w:hAnsi="Times New Roman" w:cs="Times New Roman"/>
        </w:rPr>
        <w:t xml:space="preserve">comporta una </w:t>
      </w:r>
      <w:r>
        <w:rPr>
          <w:rFonts w:ascii="Times New Roman" w:hAnsi="Times New Roman" w:cs="Times New Roman"/>
        </w:rPr>
        <w:t xml:space="preserve">riflessione fisiologica sulla </w:t>
      </w:r>
      <w:r w:rsidRPr="002F48DD">
        <w:rPr>
          <w:rFonts w:ascii="Times New Roman" w:hAnsi="Times New Roman" w:cs="Times New Roman"/>
        </w:rPr>
        <w:t xml:space="preserve">differenziazione di format e linguaggi con l’obiettivo di </w:t>
      </w:r>
      <w:r>
        <w:rPr>
          <w:rFonts w:ascii="Times New Roman" w:hAnsi="Times New Roman" w:cs="Times New Roman"/>
        </w:rPr>
        <w:t>convergere con le sensibilità degli utilizzatori prevalenti dei</w:t>
      </w:r>
      <w:r w:rsidRPr="002F48DD">
        <w:rPr>
          <w:rFonts w:ascii="Times New Roman" w:hAnsi="Times New Roman" w:cs="Times New Roman"/>
        </w:rPr>
        <w:t xml:space="preserve"> diversi</w:t>
      </w:r>
      <w:r>
        <w:rPr>
          <w:rFonts w:ascii="Times New Roman" w:hAnsi="Times New Roman" w:cs="Times New Roman"/>
        </w:rPr>
        <w:t xml:space="preserve"> canali </w:t>
      </w:r>
      <w:r w:rsidR="00552E9F">
        <w:rPr>
          <w:rFonts w:ascii="Times New Roman" w:hAnsi="Times New Roman" w:cs="Times New Roman"/>
        </w:rPr>
        <w:t xml:space="preserve">e sulla </w:t>
      </w:r>
      <w:r w:rsidR="00532F13">
        <w:rPr>
          <w:rFonts w:ascii="Times New Roman" w:hAnsi="Times New Roman" w:cs="Times New Roman"/>
        </w:rPr>
        <w:t xml:space="preserve">progettazione e gestione unitaria degli stessi, che dovranno essere coordinati in back office. </w:t>
      </w:r>
    </w:p>
    <w:p w14:paraId="4539C5E7" w14:textId="07A0DEE4" w:rsidR="009B7C87" w:rsidRPr="004D3098" w:rsidRDefault="00E64309" w:rsidP="00E64309">
      <w:pPr>
        <w:pStyle w:val="Nessunaspaziatura"/>
        <w:jc w:val="both"/>
        <w:rPr>
          <w:rFonts w:ascii="Times New Roman" w:hAnsi="Times New Roman" w:cs="Times New Roman"/>
        </w:rPr>
      </w:pPr>
      <w:r>
        <w:rPr>
          <w:rFonts w:ascii="Times New Roman" w:hAnsi="Times New Roman" w:cs="Times New Roman"/>
        </w:rPr>
        <w:t xml:space="preserve">Il primo </w:t>
      </w:r>
      <w:r w:rsidRPr="00E64309">
        <w:rPr>
          <w:rFonts w:ascii="Times New Roman" w:hAnsi="Times New Roman" w:cs="Times New Roman"/>
          <w:i/>
        </w:rPr>
        <w:t>trade off</w:t>
      </w:r>
      <w:r>
        <w:rPr>
          <w:rFonts w:ascii="Times New Roman" w:hAnsi="Times New Roman" w:cs="Times New Roman"/>
        </w:rPr>
        <w:t xml:space="preserve"> riguarda </w:t>
      </w:r>
      <w:r w:rsidR="009B7C87" w:rsidRPr="004D3098">
        <w:rPr>
          <w:rFonts w:ascii="Times New Roman" w:hAnsi="Times New Roman" w:cs="Times New Roman"/>
        </w:rPr>
        <w:t xml:space="preserve">gli aspetti organizzativi </w:t>
      </w:r>
      <w:r w:rsidRPr="004D3098">
        <w:rPr>
          <w:rFonts w:ascii="Times New Roman" w:hAnsi="Times New Roman" w:cs="Times New Roman"/>
        </w:rPr>
        <w:t xml:space="preserve">che </w:t>
      </w:r>
      <w:r w:rsidR="009B7C87" w:rsidRPr="004D3098">
        <w:rPr>
          <w:rFonts w:ascii="Times New Roman" w:hAnsi="Times New Roman" w:cs="Times New Roman"/>
        </w:rPr>
        <w:t xml:space="preserve">interessano la decisone sull’allocazione della </w:t>
      </w:r>
      <w:r w:rsidR="009B7C87" w:rsidRPr="004D3098">
        <w:rPr>
          <w:rFonts w:ascii="Times New Roman" w:hAnsi="Times New Roman" w:cs="Times New Roman"/>
          <w:i/>
        </w:rPr>
        <w:t>responsabilità del disegno dei percorsi di accesso</w:t>
      </w:r>
      <w:r w:rsidR="009B7C87" w:rsidRPr="004D3098">
        <w:rPr>
          <w:rFonts w:ascii="Times New Roman" w:hAnsi="Times New Roman" w:cs="Times New Roman"/>
        </w:rPr>
        <w:t xml:space="preserve">, che potrebbe essere del Distretto Sanitario, di una funzione aziendale centrale, così come del coordinatore della Casa della Comunità. Alla definizione dei percorsi si accompagna la definizione delle figure incaricate a </w:t>
      </w:r>
      <w:r w:rsidR="009B7C87" w:rsidRPr="004D3098">
        <w:rPr>
          <w:rFonts w:ascii="Times New Roman" w:hAnsi="Times New Roman" w:cs="Times New Roman"/>
          <w:i/>
        </w:rPr>
        <w:t>raccogliere e analizzare i dati di accesso per svolgere attività CRM</w:t>
      </w:r>
      <w:r w:rsidR="009B7C87" w:rsidRPr="004D3098">
        <w:rPr>
          <w:rFonts w:ascii="Times New Roman" w:hAnsi="Times New Roman" w:cs="Times New Roman"/>
        </w:rPr>
        <w:t xml:space="preserve">. </w:t>
      </w:r>
      <w:r w:rsidR="008057E1">
        <w:rPr>
          <w:rFonts w:ascii="Times New Roman" w:hAnsi="Times New Roman" w:cs="Times New Roman"/>
        </w:rPr>
        <w:t>Le questioni operative</w:t>
      </w:r>
      <w:r w:rsidR="009B7C87" w:rsidRPr="004D3098">
        <w:rPr>
          <w:rFonts w:ascii="Times New Roman" w:hAnsi="Times New Roman" w:cs="Times New Roman"/>
        </w:rPr>
        <w:t xml:space="preserve"> riguardano </w:t>
      </w:r>
      <w:r w:rsidR="008057E1">
        <w:rPr>
          <w:rFonts w:ascii="Times New Roman" w:hAnsi="Times New Roman" w:cs="Times New Roman"/>
        </w:rPr>
        <w:t>invece</w:t>
      </w:r>
      <w:r w:rsidR="009B7C87" w:rsidRPr="004D3098">
        <w:rPr>
          <w:rFonts w:ascii="Times New Roman" w:hAnsi="Times New Roman" w:cs="Times New Roman"/>
        </w:rPr>
        <w:t xml:space="preserve"> la scelta della combinazione tra </w:t>
      </w:r>
      <w:r w:rsidR="009B7C87" w:rsidRPr="004D3098">
        <w:rPr>
          <w:rFonts w:ascii="Times New Roman" w:hAnsi="Times New Roman" w:cs="Times New Roman"/>
          <w:i/>
        </w:rPr>
        <w:t xml:space="preserve">categoria di utente e </w:t>
      </w:r>
      <w:r w:rsidR="009B7C87" w:rsidRPr="004D3098">
        <w:rPr>
          <w:rFonts w:ascii="Times New Roman" w:hAnsi="Times New Roman" w:cs="Times New Roman"/>
          <w:i/>
        </w:rPr>
        <w:lastRenderedPageBreak/>
        <w:t>tipologia di canale</w:t>
      </w:r>
      <w:r w:rsidR="009B7C87" w:rsidRPr="004D3098">
        <w:rPr>
          <w:rFonts w:ascii="Times New Roman" w:hAnsi="Times New Roman" w:cs="Times New Roman"/>
        </w:rPr>
        <w:t xml:space="preserve">. Infatti, i cittadini, pur nella piena autonomia di scelta rispetto al canale che preferiscono, sono prioritariamente attratti dal canale che percepiscono meglio rispondente alle proprie esigenze, linguaggi, cultura. Una possibile combinazione potrebbe prevedere, ad esempio, che ai pazienti fragilità sia dedicato in via prioritaria il (PUA) fisico all’interno di una Casa della Comunità, riservare invece il numero 116117 alle informazioni di primo orientamento dell’utente </w:t>
      </w:r>
      <w:r w:rsidR="00726877">
        <w:rPr>
          <w:rFonts w:ascii="Times New Roman" w:hAnsi="Times New Roman" w:cs="Times New Roman"/>
        </w:rPr>
        <w:t>generale</w:t>
      </w:r>
      <w:r w:rsidR="00F67CE2">
        <w:rPr>
          <w:rFonts w:ascii="Times New Roman" w:hAnsi="Times New Roman" w:cs="Times New Roman"/>
        </w:rPr>
        <w:t xml:space="preserve">, </w:t>
      </w:r>
      <w:r w:rsidR="009B7C87" w:rsidRPr="004D3098">
        <w:rPr>
          <w:rFonts w:ascii="Times New Roman" w:hAnsi="Times New Roman" w:cs="Times New Roman"/>
        </w:rPr>
        <w:t>dirotta</w:t>
      </w:r>
      <w:r w:rsidR="00F67CE2">
        <w:rPr>
          <w:rFonts w:ascii="Times New Roman" w:hAnsi="Times New Roman" w:cs="Times New Roman"/>
        </w:rPr>
        <w:t>ndo invece</w:t>
      </w:r>
      <w:r w:rsidR="009B7C87" w:rsidRPr="004D3098">
        <w:rPr>
          <w:rFonts w:ascii="Times New Roman" w:hAnsi="Times New Roman" w:cs="Times New Roman"/>
        </w:rPr>
        <w:t xml:space="preserve"> tutte le questioni amministrative a un</w:t>
      </w:r>
      <w:r w:rsidR="00F67CE2">
        <w:rPr>
          <w:rFonts w:ascii="Times New Roman" w:hAnsi="Times New Roman" w:cs="Times New Roman"/>
        </w:rPr>
        <w:t xml:space="preserve"> canale</w:t>
      </w:r>
      <w:r w:rsidR="009B7C87" w:rsidRPr="004D3098">
        <w:rPr>
          <w:rFonts w:ascii="Times New Roman" w:hAnsi="Times New Roman" w:cs="Times New Roman"/>
        </w:rPr>
        <w:t xml:space="preserve"> digitale. Un’ulteriore scelta riguarda l’identificazione del </w:t>
      </w:r>
      <w:r w:rsidR="009B7C87" w:rsidRPr="004D3098">
        <w:rPr>
          <w:rFonts w:ascii="Times New Roman" w:hAnsi="Times New Roman" w:cs="Times New Roman"/>
          <w:i/>
        </w:rPr>
        <w:t>personale di contatto allocato ai diversi canali</w:t>
      </w:r>
      <w:r w:rsidR="009B7C87" w:rsidRPr="004D3098">
        <w:rPr>
          <w:rFonts w:ascii="Times New Roman" w:hAnsi="Times New Roman" w:cs="Times New Roman"/>
        </w:rPr>
        <w:t xml:space="preserve">: alcuni punti di accesso avranno bisogno di persone fisiche che potranno essere scelte fra il personale infermieristico o amministrativo, mentre per i canali digitali si dovrà decidere quanto personale allocare e quanta parte del servizio delegare alla gestione automatizzata tramite algoritmi e intelligenza artificiale. Infine, un elemento centrale è quello relativo alla </w:t>
      </w:r>
      <w:r w:rsidR="00726877">
        <w:rPr>
          <w:rFonts w:ascii="Times New Roman" w:hAnsi="Times New Roman" w:cs="Times New Roman"/>
          <w:i/>
        </w:rPr>
        <w:t xml:space="preserve">costruzione unitaria </w:t>
      </w:r>
      <w:r w:rsidR="009B7C87" w:rsidRPr="004D3098">
        <w:rPr>
          <w:rFonts w:ascii="Times New Roman" w:hAnsi="Times New Roman" w:cs="Times New Roman"/>
          <w:i/>
        </w:rPr>
        <w:t>di un filtro</w:t>
      </w:r>
      <w:r w:rsidRPr="004D3098">
        <w:rPr>
          <w:rFonts w:ascii="Times New Roman" w:hAnsi="Times New Roman" w:cs="Times New Roman"/>
          <w:i/>
        </w:rPr>
        <w:t xml:space="preserve"> ai canali</w:t>
      </w:r>
      <w:r w:rsidR="009B7C87" w:rsidRPr="004D3098">
        <w:rPr>
          <w:rFonts w:ascii="Times New Roman" w:hAnsi="Times New Roman" w:cs="Times New Roman"/>
          <w:i/>
        </w:rPr>
        <w:t>, sia per valutare l’eleggibilità delle richieste, sia per definire le priorità tra le domande (triage territoriale)</w:t>
      </w:r>
      <w:r w:rsidR="009B7C87" w:rsidRPr="004D3098">
        <w:rPr>
          <w:rFonts w:ascii="Times New Roman" w:hAnsi="Times New Roman" w:cs="Times New Roman"/>
        </w:rPr>
        <w:t xml:space="preserve">. A fronte della diversificazione dei canali, occorre </w:t>
      </w:r>
      <w:r w:rsidRPr="004D3098">
        <w:rPr>
          <w:rFonts w:ascii="Times New Roman" w:hAnsi="Times New Roman" w:cs="Times New Roman"/>
        </w:rPr>
        <w:t xml:space="preserve">infatti </w:t>
      </w:r>
      <w:r w:rsidR="009B7C87" w:rsidRPr="004D3098">
        <w:rPr>
          <w:rFonts w:ascii="Times New Roman" w:hAnsi="Times New Roman" w:cs="Times New Roman"/>
        </w:rPr>
        <w:t>decidere come dovrà funzionare lo smistamento delle richieste che provengono dall’utenza, se attraverso un unico filtro centralizzato</w:t>
      </w:r>
      <w:r w:rsidR="00532F13">
        <w:rPr>
          <w:rFonts w:ascii="Times New Roman" w:hAnsi="Times New Roman" w:cs="Times New Roman"/>
        </w:rPr>
        <w:t>, più equo ma allo stesso tempo più facilmente saturabile,</w:t>
      </w:r>
      <w:r w:rsidR="009B7C87" w:rsidRPr="004D3098">
        <w:rPr>
          <w:rFonts w:ascii="Times New Roman" w:hAnsi="Times New Roman" w:cs="Times New Roman"/>
        </w:rPr>
        <w:t xml:space="preserve"> oppure più filtri differenziati per ogni canale</w:t>
      </w:r>
      <w:r w:rsidR="00532F13">
        <w:rPr>
          <w:rFonts w:ascii="Times New Roman" w:hAnsi="Times New Roman" w:cs="Times New Roman"/>
        </w:rPr>
        <w:t>, che rischierebbero di</w:t>
      </w:r>
      <w:r w:rsidR="009B7C87" w:rsidRPr="004D3098">
        <w:rPr>
          <w:rFonts w:ascii="Times New Roman" w:hAnsi="Times New Roman" w:cs="Times New Roman"/>
        </w:rPr>
        <w:t xml:space="preserve"> parcellizzare l’accesso</w:t>
      </w:r>
      <w:r w:rsidR="00532F13">
        <w:rPr>
          <w:rFonts w:ascii="Times New Roman" w:hAnsi="Times New Roman" w:cs="Times New Roman"/>
        </w:rPr>
        <w:t xml:space="preserve"> e </w:t>
      </w:r>
      <w:r w:rsidR="009B7C87" w:rsidRPr="004D3098">
        <w:rPr>
          <w:rFonts w:ascii="Times New Roman" w:hAnsi="Times New Roman" w:cs="Times New Roman"/>
        </w:rPr>
        <w:t>aumentare l’iniquità di ingresso</w:t>
      </w:r>
      <w:r w:rsidR="00532F13">
        <w:rPr>
          <w:rFonts w:ascii="Times New Roman" w:hAnsi="Times New Roman" w:cs="Times New Roman"/>
        </w:rPr>
        <w:t xml:space="preserve"> ma potrebbero essere più facili da governare. </w:t>
      </w:r>
    </w:p>
    <w:p w14:paraId="68074BCF" w14:textId="3C8D8DDB" w:rsidR="009B7C87" w:rsidRDefault="009B7C87" w:rsidP="004B0463">
      <w:pPr>
        <w:pStyle w:val="Nessunaspaziatura"/>
        <w:jc w:val="both"/>
        <w:rPr>
          <w:rFonts w:ascii="Times New Roman" w:hAnsi="Times New Roman" w:cs="Times New Roman"/>
        </w:rPr>
      </w:pPr>
    </w:p>
    <w:p w14:paraId="18160226" w14:textId="49E45F90" w:rsidR="00E64309" w:rsidRDefault="00E64309" w:rsidP="00E64309">
      <w:pPr>
        <w:pStyle w:val="Nessunaspaziatura"/>
        <w:jc w:val="both"/>
        <w:rPr>
          <w:rFonts w:ascii="Times New Roman" w:hAnsi="Times New Roman" w:cs="Times New Roman"/>
          <w:bCs/>
        </w:rPr>
      </w:pPr>
      <w:r>
        <w:rPr>
          <w:rFonts w:ascii="Times New Roman" w:hAnsi="Times New Roman" w:cs="Times New Roman"/>
          <w:bCs/>
        </w:rPr>
        <w:t>Una terza area di indeterminatezza riguarda</w:t>
      </w:r>
      <w:r w:rsidR="00F67CE2">
        <w:rPr>
          <w:rFonts w:ascii="Times New Roman" w:hAnsi="Times New Roman" w:cs="Times New Roman"/>
          <w:bCs/>
        </w:rPr>
        <w:t xml:space="preserve"> l’assetto</w:t>
      </w:r>
      <w:r>
        <w:rPr>
          <w:rFonts w:ascii="Times New Roman" w:hAnsi="Times New Roman" w:cs="Times New Roman"/>
          <w:bCs/>
        </w:rPr>
        <w:t xml:space="preserve"> organizzativo del territorio. </w:t>
      </w:r>
      <w:r w:rsidR="00F67CE2">
        <w:rPr>
          <w:rFonts w:ascii="Times New Roman" w:hAnsi="Times New Roman" w:cs="Times New Roman"/>
          <w:bCs/>
        </w:rPr>
        <w:t>I “mattoni organizzativi”</w:t>
      </w:r>
      <w:r w:rsidR="00532F13">
        <w:rPr>
          <w:rFonts w:ascii="Times New Roman" w:hAnsi="Times New Roman" w:cs="Times New Roman"/>
          <w:bCs/>
        </w:rPr>
        <w:t xml:space="preserve"> sono </w:t>
      </w:r>
      <w:r>
        <w:rPr>
          <w:rFonts w:ascii="Times New Roman" w:hAnsi="Times New Roman" w:cs="Times New Roman"/>
          <w:bCs/>
        </w:rPr>
        <w:t xml:space="preserve">individuabili nel </w:t>
      </w:r>
      <w:r w:rsidRPr="002F48DD">
        <w:rPr>
          <w:rFonts w:ascii="Times New Roman" w:hAnsi="Times New Roman" w:cs="Times New Roman"/>
          <w:bCs/>
        </w:rPr>
        <w:t xml:space="preserve">Distretto </w:t>
      </w:r>
      <w:r>
        <w:rPr>
          <w:rFonts w:ascii="Times New Roman" w:hAnsi="Times New Roman" w:cs="Times New Roman"/>
          <w:bCs/>
        </w:rPr>
        <w:t xml:space="preserve">sociosanitario, </w:t>
      </w:r>
      <w:r w:rsidRPr="002F48DD">
        <w:rPr>
          <w:rFonts w:ascii="Times New Roman" w:hAnsi="Times New Roman" w:cs="Times New Roman"/>
          <w:bCs/>
        </w:rPr>
        <w:t xml:space="preserve">nei Dipartimenti </w:t>
      </w:r>
      <w:r>
        <w:rPr>
          <w:rFonts w:ascii="Times New Roman" w:hAnsi="Times New Roman" w:cs="Times New Roman"/>
          <w:bCs/>
        </w:rPr>
        <w:t xml:space="preserve">Specialistici Territoriali </w:t>
      </w:r>
      <w:r w:rsidR="00F67CE2">
        <w:rPr>
          <w:rFonts w:ascii="Times New Roman" w:hAnsi="Times New Roman" w:cs="Times New Roman"/>
          <w:bCs/>
        </w:rPr>
        <w:t xml:space="preserve">(prevenzione, cure primarie, psichiatria, </w:t>
      </w:r>
      <w:proofErr w:type="spellStart"/>
      <w:r w:rsidR="00F67CE2">
        <w:rPr>
          <w:rFonts w:ascii="Times New Roman" w:hAnsi="Times New Roman" w:cs="Times New Roman"/>
          <w:bCs/>
        </w:rPr>
        <w:t>ecc.)</w:t>
      </w:r>
      <w:proofErr w:type="spellEnd"/>
      <w:r w:rsidR="00F67CE2">
        <w:rPr>
          <w:rFonts w:ascii="Times New Roman" w:hAnsi="Times New Roman" w:cs="Times New Roman"/>
          <w:bCs/>
        </w:rPr>
        <w:t xml:space="preserve"> </w:t>
      </w:r>
      <w:r w:rsidRPr="002F48DD">
        <w:rPr>
          <w:rFonts w:ascii="Times New Roman" w:hAnsi="Times New Roman" w:cs="Times New Roman"/>
          <w:bCs/>
        </w:rPr>
        <w:t xml:space="preserve">e nei setting erogativi </w:t>
      </w:r>
      <w:r>
        <w:rPr>
          <w:rFonts w:ascii="Times New Roman" w:hAnsi="Times New Roman" w:cs="Times New Roman"/>
          <w:bCs/>
        </w:rPr>
        <w:t>di cure intermedie</w:t>
      </w:r>
      <w:r w:rsidR="00532F13">
        <w:rPr>
          <w:rFonts w:ascii="Times New Roman" w:hAnsi="Times New Roman" w:cs="Times New Roman"/>
          <w:bCs/>
        </w:rPr>
        <w:t xml:space="preserve"> (</w:t>
      </w:r>
      <w:proofErr w:type="spellStart"/>
      <w:r w:rsidR="00532F13">
        <w:rPr>
          <w:rFonts w:ascii="Times New Roman" w:hAnsi="Times New Roman" w:cs="Times New Roman"/>
          <w:bCs/>
        </w:rPr>
        <w:t>CdC</w:t>
      </w:r>
      <w:proofErr w:type="spellEnd"/>
      <w:r w:rsidR="00532F13">
        <w:rPr>
          <w:rFonts w:ascii="Times New Roman" w:hAnsi="Times New Roman" w:cs="Times New Roman"/>
          <w:bCs/>
        </w:rPr>
        <w:t xml:space="preserve"> e </w:t>
      </w:r>
      <w:proofErr w:type="spellStart"/>
      <w:r w:rsidR="00532F13">
        <w:rPr>
          <w:rFonts w:ascii="Times New Roman" w:hAnsi="Times New Roman" w:cs="Times New Roman"/>
          <w:bCs/>
        </w:rPr>
        <w:t>OdC</w:t>
      </w:r>
      <w:proofErr w:type="spellEnd"/>
      <w:r w:rsidR="00532F13">
        <w:rPr>
          <w:rFonts w:ascii="Times New Roman" w:hAnsi="Times New Roman" w:cs="Times New Roman"/>
          <w:bCs/>
        </w:rPr>
        <w:t xml:space="preserve">) e </w:t>
      </w:r>
      <w:r>
        <w:rPr>
          <w:rFonts w:ascii="Times New Roman" w:hAnsi="Times New Roman" w:cs="Times New Roman"/>
          <w:bCs/>
        </w:rPr>
        <w:t>sono investite di numerose funzioni</w:t>
      </w:r>
      <w:r w:rsidR="00B20EBB">
        <w:rPr>
          <w:rFonts w:ascii="Times New Roman" w:hAnsi="Times New Roman" w:cs="Times New Roman"/>
          <w:bCs/>
        </w:rPr>
        <w:t xml:space="preserve">: a) </w:t>
      </w:r>
      <w:r>
        <w:rPr>
          <w:rFonts w:ascii="Times New Roman" w:hAnsi="Times New Roman" w:cs="Times New Roman"/>
          <w:bCs/>
        </w:rPr>
        <w:t>governo clinico,</w:t>
      </w:r>
      <w:r w:rsidR="00B20EBB">
        <w:rPr>
          <w:rFonts w:ascii="Times New Roman" w:hAnsi="Times New Roman" w:cs="Times New Roman"/>
          <w:bCs/>
        </w:rPr>
        <w:t xml:space="preserve"> b)</w:t>
      </w:r>
      <w:r>
        <w:rPr>
          <w:rFonts w:ascii="Times New Roman" w:hAnsi="Times New Roman" w:cs="Times New Roman"/>
          <w:bCs/>
        </w:rPr>
        <w:t xml:space="preserve"> il governo delle risorse</w:t>
      </w:r>
      <w:r w:rsidR="00B20EBB">
        <w:rPr>
          <w:rFonts w:ascii="Times New Roman" w:hAnsi="Times New Roman" w:cs="Times New Roman"/>
          <w:bCs/>
        </w:rPr>
        <w:t>, c)</w:t>
      </w:r>
      <w:r>
        <w:rPr>
          <w:rFonts w:ascii="Times New Roman" w:hAnsi="Times New Roman" w:cs="Times New Roman"/>
          <w:bCs/>
        </w:rPr>
        <w:t xml:space="preserve"> il service design. </w:t>
      </w:r>
    </w:p>
    <w:p w14:paraId="78877682" w14:textId="749487D7" w:rsidR="00E64309" w:rsidRPr="002F48DD" w:rsidRDefault="00E64309" w:rsidP="008057E1">
      <w:pPr>
        <w:pStyle w:val="Nessunaspaziatura"/>
        <w:jc w:val="both"/>
        <w:rPr>
          <w:rFonts w:ascii="Times New Roman" w:hAnsi="Times New Roman" w:cs="Times New Roman"/>
          <w:bCs/>
        </w:rPr>
      </w:pPr>
      <w:r w:rsidRPr="00BB06AB">
        <w:rPr>
          <w:rFonts w:ascii="Times New Roman" w:hAnsi="Times New Roman" w:cs="Times New Roman"/>
          <w:bCs/>
        </w:rPr>
        <w:t xml:space="preserve">Il </w:t>
      </w:r>
      <w:r w:rsidR="00F67CE2" w:rsidRPr="00F67CE2">
        <w:rPr>
          <w:rFonts w:ascii="Times New Roman" w:hAnsi="Times New Roman" w:cs="Times New Roman"/>
          <w:bCs/>
          <w:i/>
          <w:iCs/>
        </w:rPr>
        <w:t>trade off di policy</w:t>
      </w:r>
      <w:r w:rsidR="00F67CE2">
        <w:rPr>
          <w:rFonts w:ascii="Times New Roman" w:hAnsi="Times New Roman" w:cs="Times New Roman"/>
          <w:bCs/>
        </w:rPr>
        <w:t xml:space="preserve"> </w:t>
      </w:r>
      <w:r w:rsidRPr="00BB06AB">
        <w:rPr>
          <w:rFonts w:ascii="Times New Roman" w:hAnsi="Times New Roman" w:cs="Times New Roman"/>
          <w:bCs/>
        </w:rPr>
        <w:t>primo riguarda l’</w:t>
      </w:r>
      <w:r w:rsidRPr="00BB06AB">
        <w:rPr>
          <w:rFonts w:ascii="Times New Roman" w:hAnsi="Times New Roman" w:cs="Times New Roman"/>
          <w:bCs/>
          <w:i/>
        </w:rPr>
        <w:t>associazione fra funzioni e mattoni organizzativi: s</w:t>
      </w:r>
      <w:r w:rsidRPr="00BB06AB">
        <w:rPr>
          <w:rFonts w:ascii="Times New Roman" w:hAnsi="Times New Roman" w:cs="Times New Roman"/>
          <w:bCs/>
        </w:rPr>
        <w:t>i tratta di decidere a chi affidare l’allocazione e il controllo della saturazione delle risorse, quale fra gli attori citati è dotato delle competenze necessarie per occuparsi del governo</w:t>
      </w:r>
      <w:r w:rsidRPr="002F48DD">
        <w:rPr>
          <w:rFonts w:ascii="Times New Roman" w:hAnsi="Times New Roman" w:cs="Times New Roman"/>
          <w:bCs/>
        </w:rPr>
        <w:t xml:space="preserve"> clinico e individuare a chi spetta il compito di gestione del </w:t>
      </w:r>
      <w:r w:rsidRPr="0084234B">
        <w:rPr>
          <w:rFonts w:ascii="Times New Roman" w:hAnsi="Times New Roman" w:cs="Times New Roman"/>
          <w:bCs/>
          <w:i/>
        </w:rPr>
        <w:t>patient journey</w:t>
      </w:r>
      <w:r w:rsidRPr="002F48DD">
        <w:rPr>
          <w:rFonts w:ascii="Times New Roman" w:hAnsi="Times New Roman" w:cs="Times New Roman"/>
          <w:bCs/>
        </w:rPr>
        <w:t>. Le configurazioni possibili non sono univoche e</w:t>
      </w:r>
      <w:r>
        <w:rPr>
          <w:rFonts w:ascii="Times New Roman" w:hAnsi="Times New Roman" w:cs="Times New Roman"/>
          <w:bCs/>
        </w:rPr>
        <w:t xml:space="preserve"> a seconda di ciascun contesto, le funzioni possono essere distribuite in modo differente ai mattoni organizzativi del territorio.</w:t>
      </w:r>
      <w:r w:rsidRPr="002F48DD">
        <w:rPr>
          <w:rFonts w:ascii="Times New Roman" w:hAnsi="Times New Roman" w:cs="Times New Roman"/>
          <w:bCs/>
        </w:rPr>
        <w:t xml:space="preserve"> </w:t>
      </w:r>
      <w:r w:rsidR="00B20EBB">
        <w:rPr>
          <w:rFonts w:ascii="Times New Roman" w:hAnsi="Times New Roman" w:cs="Times New Roman"/>
          <w:bCs/>
        </w:rPr>
        <w:t xml:space="preserve">Ad esempio il distretto potrebbe occuparsi di governo delle risorse, i dipartimenti di governo clinico e </w:t>
      </w:r>
      <w:proofErr w:type="spellStart"/>
      <w:r w:rsidR="00B20EBB">
        <w:rPr>
          <w:rFonts w:ascii="Times New Roman" w:hAnsi="Times New Roman" w:cs="Times New Roman"/>
          <w:bCs/>
        </w:rPr>
        <w:t>CdC</w:t>
      </w:r>
      <w:proofErr w:type="spellEnd"/>
      <w:r w:rsidR="00B20EBB">
        <w:rPr>
          <w:rFonts w:ascii="Times New Roman" w:hAnsi="Times New Roman" w:cs="Times New Roman"/>
          <w:bCs/>
        </w:rPr>
        <w:t>/</w:t>
      </w:r>
      <w:proofErr w:type="spellStart"/>
      <w:r w:rsidR="00B20EBB">
        <w:rPr>
          <w:rFonts w:ascii="Times New Roman" w:hAnsi="Times New Roman" w:cs="Times New Roman"/>
          <w:bCs/>
        </w:rPr>
        <w:t>OdC</w:t>
      </w:r>
      <w:proofErr w:type="spellEnd"/>
      <w:r w:rsidR="00B20EBB">
        <w:rPr>
          <w:rFonts w:ascii="Times New Roman" w:hAnsi="Times New Roman" w:cs="Times New Roman"/>
          <w:bCs/>
        </w:rPr>
        <w:t xml:space="preserve"> di service design, ma molte sono le altre combinazioni possibili. </w:t>
      </w:r>
      <w:r>
        <w:rPr>
          <w:rFonts w:ascii="Times New Roman" w:hAnsi="Times New Roman" w:cs="Times New Roman"/>
          <w:bCs/>
        </w:rPr>
        <w:t xml:space="preserve">Il secondo </w:t>
      </w:r>
      <w:r w:rsidRPr="008D7722">
        <w:rPr>
          <w:rFonts w:ascii="Times New Roman" w:hAnsi="Times New Roman" w:cs="Times New Roman"/>
          <w:bCs/>
          <w:i/>
        </w:rPr>
        <w:t>trade off</w:t>
      </w:r>
      <w:r w:rsidRPr="002F48DD">
        <w:rPr>
          <w:rFonts w:ascii="Times New Roman" w:hAnsi="Times New Roman" w:cs="Times New Roman"/>
          <w:bCs/>
        </w:rPr>
        <w:t xml:space="preserve"> riguarda la decisione di </w:t>
      </w:r>
      <w:r w:rsidRPr="005529C8">
        <w:rPr>
          <w:rFonts w:ascii="Times New Roman" w:hAnsi="Times New Roman" w:cs="Times New Roman"/>
          <w:bCs/>
          <w:i/>
        </w:rPr>
        <w:t>quali metriche di risultato assegnare a ogni funzione</w:t>
      </w:r>
      <w:r w:rsidRPr="002F48DD">
        <w:rPr>
          <w:rFonts w:ascii="Times New Roman" w:hAnsi="Times New Roman" w:cs="Times New Roman"/>
          <w:bCs/>
        </w:rPr>
        <w:t xml:space="preserve">. </w:t>
      </w:r>
      <w:r w:rsidR="00B20EBB">
        <w:rPr>
          <w:rFonts w:ascii="Times New Roman" w:hAnsi="Times New Roman" w:cs="Times New Roman"/>
          <w:bCs/>
        </w:rPr>
        <w:t>A</w:t>
      </w:r>
      <w:r w:rsidRPr="002F48DD">
        <w:rPr>
          <w:rFonts w:ascii="Times New Roman" w:hAnsi="Times New Roman" w:cs="Times New Roman"/>
          <w:bCs/>
        </w:rPr>
        <w:t xml:space="preserve">lcuni indicatori possibili </w:t>
      </w:r>
      <w:r w:rsidR="008057E1" w:rsidRPr="002F48DD">
        <w:rPr>
          <w:rFonts w:ascii="Times New Roman" w:hAnsi="Times New Roman" w:cs="Times New Roman"/>
          <w:bCs/>
        </w:rPr>
        <w:t xml:space="preserve">per misurare e valutare il raggiungimento degli obiettivi </w:t>
      </w:r>
      <w:r w:rsidRPr="002F48DD">
        <w:rPr>
          <w:rFonts w:ascii="Times New Roman" w:hAnsi="Times New Roman" w:cs="Times New Roman"/>
          <w:bCs/>
        </w:rPr>
        <w:t xml:space="preserve">possono essere identificati nel tasso di saturazione della </w:t>
      </w:r>
      <w:proofErr w:type="spellStart"/>
      <w:r w:rsidRPr="0084234B">
        <w:rPr>
          <w:rFonts w:ascii="Times New Roman" w:hAnsi="Times New Roman" w:cs="Times New Roman"/>
          <w:bCs/>
          <w:i/>
        </w:rPr>
        <w:t>capacity</w:t>
      </w:r>
      <w:proofErr w:type="spellEnd"/>
      <w:r w:rsidR="00B20EBB">
        <w:rPr>
          <w:rFonts w:ascii="Times New Roman" w:hAnsi="Times New Roman" w:cs="Times New Roman"/>
          <w:bCs/>
          <w:i/>
        </w:rPr>
        <w:t xml:space="preserve"> (governo risorse)</w:t>
      </w:r>
      <w:r w:rsidRPr="002F48DD">
        <w:rPr>
          <w:rFonts w:ascii="Times New Roman" w:hAnsi="Times New Roman" w:cs="Times New Roman"/>
          <w:bCs/>
        </w:rPr>
        <w:t xml:space="preserve">, nel raggiungimento di determinati </w:t>
      </w:r>
      <w:r>
        <w:rPr>
          <w:rFonts w:ascii="Times New Roman" w:hAnsi="Times New Roman" w:cs="Times New Roman"/>
          <w:bCs/>
        </w:rPr>
        <w:t xml:space="preserve">livelli di reclutamento e di </w:t>
      </w:r>
      <w:proofErr w:type="spellStart"/>
      <w:r w:rsidRPr="0084234B">
        <w:rPr>
          <w:rFonts w:ascii="Times New Roman" w:hAnsi="Times New Roman" w:cs="Times New Roman"/>
          <w:bCs/>
          <w:i/>
        </w:rPr>
        <w:t>outcome</w:t>
      </w:r>
      <w:proofErr w:type="spellEnd"/>
      <w:r>
        <w:rPr>
          <w:rFonts w:ascii="Times New Roman" w:hAnsi="Times New Roman" w:cs="Times New Roman"/>
          <w:bCs/>
        </w:rPr>
        <w:t xml:space="preserve"> intermedio per patologie</w:t>
      </w:r>
      <w:r w:rsidRPr="002F48DD">
        <w:rPr>
          <w:rFonts w:ascii="Times New Roman" w:hAnsi="Times New Roman" w:cs="Times New Roman"/>
          <w:bCs/>
        </w:rPr>
        <w:t xml:space="preserve"> </w:t>
      </w:r>
      <w:r w:rsidR="00B20EBB">
        <w:rPr>
          <w:rFonts w:ascii="Times New Roman" w:hAnsi="Times New Roman" w:cs="Times New Roman"/>
          <w:bCs/>
        </w:rPr>
        <w:t>(g</w:t>
      </w:r>
      <w:r w:rsidR="00B20EBB" w:rsidRPr="00B20EBB">
        <w:rPr>
          <w:rFonts w:ascii="Times New Roman" w:hAnsi="Times New Roman" w:cs="Times New Roman"/>
          <w:bCs/>
          <w:i/>
          <w:iCs/>
        </w:rPr>
        <w:t xml:space="preserve">overno </w:t>
      </w:r>
      <w:proofErr w:type="spellStart"/>
      <w:r w:rsidR="00B20EBB" w:rsidRPr="00B20EBB">
        <w:rPr>
          <w:rFonts w:ascii="Times New Roman" w:hAnsi="Times New Roman" w:cs="Times New Roman"/>
          <w:bCs/>
          <w:i/>
          <w:iCs/>
        </w:rPr>
        <w:t>clinico</w:t>
      </w:r>
      <w:r w:rsidR="00B20EBB">
        <w:rPr>
          <w:rFonts w:ascii="Times New Roman" w:hAnsi="Times New Roman" w:cs="Times New Roman"/>
          <w:bCs/>
        </w:rPr>
        <w:t>)</w:t>
      </w:r>
      <w:proofErr w:type="spellEnd"/>
      <w:r w:rsidR="00B20EBB">
        <w:rPr>
          <w:rFonts w:ascii="Times New Roman" w:hAnsi="Times New Roman" w:cs="Times New Roman"/>
          <w:bCs/>
        </w:rPr>
        <w:t xml:space="preserve"> </w:t>
      </w:r>
      <w:r w:rsidRPr="002F48DD">
        <w:rPr>
          <w:rFonts w:ascii="Times New Roman" w:hAnsi="Times New Roman" w:cs="Times New Roman"/>
          <w:bCs/>
        </w:rPr>
        <w:t>e infine nel tasso di soddisfazione degli utenti che fruiscono un servizio di cura</w:t>
      </w:r>
      <w:r w:rsidR="00B20EBB">
        <w:rPr>
          <w:rFonts w:ascii="Times New Roman" w:hAnsi="Times New Roman" w:cs="Times New Roman"/>
          <w:bCs/>
        </w:rPr>
        <w:t xml:space="preserve"> (</w:t>
      </w:r>
      <w:r w:rsidR="00B20EBB" w:rsidRPr="00B20EBB">
        <w:rPr>
          <w:rFonts w:ascii="Times New Roman" w:hAnsi="Times New Roman" w:cs="Times New Roman"/>
          <w:bCs/>
          <w:i/>
          <w:iCs/>
        </w:rPr>
        <w:t>service design</w:t>
      </w:r>
      <w:r w:rsidR="00B20EBB">
        <w:rPr>
          <w:rFonts w:ascii="Times New Roman" w:hAnsi="Times New Roman" w:cs="Times New Roman"/>
          <w:bCs/>
        </w:rPr>
        <w:t>)</w:t>
      </w:r>
      <w:r w:rsidRPr="002F48DD">
        <w:rPr>
          <w:rFonts w:ascii="Times New Roman" w:hAnsi="Times New Roman" w:cs="Times New Roman"/>
          <w:bCs/>
        </w:rPr>
        <w:t xml:space="preserve">. </w:t>
      </w:r>
    </w:p>
    <w:p w14:paraId="77DC14BD" w14:textId="60135B40" w:rsidR="00E64309" w:rsidRPr="002F48DD" w:rsidRDefault="00E64309" w:rsidP="00E64309">
      <w:pPr>
        <w:pStyle w:val="Nessunaspaziatura"/>
        <w:jc w:val="both"/>
        <w:rPr>
          <w:rFonts w:ascii="Times New Roman" w:hAnsi="Times New Roman" w:cs="Times New Roman"/>
          <w:i/>
        </w:rPr>
      </w:pPr>
    </w:p>
    <w:p w14:paraId="51148661" w14:textId="3662632A" w:rsidR="00E64309" w:rsidRPr="00236505" w:rsidRDefault="004D3098" w:rsidP="004D3098">
      <w:pPr>
        <w:pStyle w:val="Nessunaspaziatura"/>
        <w:jc w:val="both"/>
        <w:rPr>
          <w:rFonts w:ascii="Times New Roman" w:hAnsi="Times New Roman" w:cs="Times New Roman"/>
        </w:rPr>
      </w:pPr>
      <w:r w:rsidRPr="00236505">
        <w:rPr>
          <w:rFonts w:ascii="Times New Roman" w:hAnsi="Times New Roman" w:cs="Times New Roman"/>
        </w:rPr>
        <w:t>L</w:t>
      </w:r>
      <w:r w:rsidR="00B20EBB">
        <w:rPr>
          <w:rFonts w:ascii="Times New Roman" w:hAnsi="Times New Roman" w:cs="Times New Roman"/>
        </w:rPr>
        <w:t>a quarta area</w:t>
      </w:r>
      <w:r w:rsidRPr="00236505">
        <w:rPr>
          <w:rFonts w:ascii="Times New Roman" w:hAnsi="Times New Roman" w:cs="Times New Roman"/>
        </w:rPr>
        <w:t xml:space="preserve"> di indeterminatezza riguarda il disegno di modelli di presa in carico</w:t>
      </w:r>
      <w:r w:rsidR="008057E1">
        <w:rPr>
          <w:rFonts w:ascii="Times New Roman" w:hAnsi="Times New Roman" w:cs="Times New Roman"/>
        </w:rPr>
        <w:t xml:space="preserve"> (PIC)</w:t>
      </w:r>
      <w:r w:rsidRPr="00236505">
        <w:rPr>
          <w:rFonts w:ascii="Times New Roman" w:hAnsi="Times New Roman" w:cs="Times New Roman"/>
        </w:rPr>
        <w:t xml:space="preserve"> </w:t>
      </w:r>
      <w:r w:rsidR="00236505" w:rsidRPr="00236505">
        <w:rPr>
          <w:rFonts w:ascii="Times New Roman" w:hAnsi="Times New Roman" w:cs="Times New Roman"/>
        </w:rPr>
        <w:t xml:space="preserve">della cronicità, fase essenziale del percorso assistenziale per i pazienti affetti da una patologia cronica, cui si associa la definizione di un Progetto di Salute e di un Piano Assistenziale Individuale (PAI). </w:t>
      </w:r>
      <w:r w:rsidR="00E64309" w:rsidRPr="00236505">
        <w:rPr>
          <w:rFonts w:ascii="Times New Roman" w:hAnsi="Times New Roman" w:cs="Times New Roman"/>
        </w:rPr>
        <w:t xml:space="preserve">L’efficacia </w:t>
      </w:r>
      <w:r w:rsidR="00236505" w:rsidRPr="00236505">
        <w:rPr>
          <w:rFonts w:ascii="Times New Roman" w:hAnsi="Times New Roman" w:cs="Times New Roman"/>
        </w:rPr>
        <w:t xml:space="preserve">di questo strumento </w:t>
      </w:r>
      <w:r w:rsidR="00E64309" w:rsidRPr="00236505">
        <w:rPr>
          <w:rFonts w:ascii="Times New Roman" w:hAnsi="Times New Roman" w:cs="Times New Roman"/>
        </w:rPr>
        <w:t xml:space="preserve">richiede un processo completo di utilizzo: la sua definizione, il controllo che sia coerente ai PDTA o ai PAI </w:t>
      </w:r>
      <w:proofErr w:type="spellStart"/>
      <w:r w:rsidR="00E64309" w:rsidRPr="00236505">
        <w:rPr>
          <w:rFonts w:ascii="Times New Roman" w:hAnsi="Times New Roman" w:cs="Times New Roman"/>
        </w:rPr>
        <w:t>ideal</w:t>
      </w:r>
      <w:proofErr w:type="spellEnd"/>
      <w:r w:rsidR="00E64309" w:rsidRPr="00236505">
        <w:rPr>
          <w:rFonts w:ascii="Times New Roman" w:hAnsi="Times New Roman" w:cs="Times New Roman"/>
        </w:rPr>
        <w:t xml:space="preserve">-tipici definiti, la verifica dell’aderenza alle terapie del paziente e la valutazione degli esiti clinici intermedi. </w:t>
      </w:r>
    </w:p>
    <w:p w14:paraId="4DC30951" w14:textId="3D47F18D" w:rsidR="00E64309" w:rsidRPr="002F48DD" w:rsidRDefault="00236505" w:rsidP="00236505">
      <w:pPr>
        <w:pStyle w:val="Nessunaspaziatura"/>
        <w:jc w:val="both"/>
        <w:rPr>
          <w:rFonts w:ascii="Times New Roman" w:hAnsi="Times New Roman" w:cs="Times New Roman"/>
        </w:rPr>
      </w:pPr>
      <w:r w:rsidRPr="00FA7217">
        <w:rPr>
          <w:rFonts w:ascii="Times New Roman" w:hAnsi="Times New Roman" w:cs="Times New Roman"/>
        </w:rPr>
        <w:t xml:space="preserve">Il primo </w:t>
      </w:r>
      <w:r w:rsidRPr="00FA7217">
        <w:rPr>
          <w:rFonts w:ascii="Times New Roman" w:hAnsi="Times New Roman" w:cs="Times New Roman"/>
          <w:i/>
        </w:rPr>
        <w:t>trade off</w:t>
      </w:r>
      <w:r w:rsidRPr="00FA7217">
        <w:rPr>
          <w:rFonts w:ascii="Times New Roman" w:hAnsi="Times New Roman" w:cs="Times New Roman"/>
        </w:rPr>
        <w:t xml:space="preserve"> </w:t>
      </w:r>
      <w:r w:rsidR="00B20EBB">
        <w:rPr>
          <w:rFonts w:ascii="Times New Roman" w:hAnsi="Times New Roman" w:cs="Times New Roman"/>
        </w:rPr>
        <w:t>riguarda la scelta del</w:t>
      </w:r>
      <w:r w:rsidR="00E64309" w:rsidRPr="00FA7217">
        <w:rPr>
          <w:rFonts w:ascii="Times New Roman" w:hAnsi="Times New Roman" w:cs="Times New Roman"/>
          <w:i/>
        </w:rPr>
        <w:t xml:space="preserve"> target prioritario da reclutare</w:t>
      </w:r>
      <w:r w:rsidR="00E64309" w:rsidRPr="00FA7217">
        <w:rPr>
          <w:rFonts w:ascii="Times New Roman" w:hAnsi="Times New Roman" w:cs="Times New Roman"/>
        </w:rPr>
        <w:t xml:space="preserve">, </w:t>
      </w:r>
      <w:r w:rsidRPr="00FA7217">
        <w:rPr>
          <w:rFonts w:ascii="Times New Roman" w:hAnsi="Times New Roman" w:cs="Times New Roman"/>
        </w:rPr>
        <w:t xml:space="preserve">data l’impossibilità, </w:t>
      </w:r>
      <w:r w:rsidR="00E64309" w:rsidRPr="00FA7217">
        <w:rPr>
          <w:rFonts w:ascii="Times New Roman" w:hAnsi="Times New Roman" w:cs="Times New Roman"/>
        </w:rPr>
        <w:t xml:space="preserve">soprattutto nel breve periodo, </w:t>
      </w:r>
      <w:r w:rsidRPr="00FA7217">
        <w:rPr>
          <w:rFonts w:ascii="Times New Roman" w:hAnsi="Times New Roman" w:cs="Times New Roman"/>
        </w:rPr>
        <w:t xml:space="preserve">di </w:t>
      </w:r>
      <w:r w:rsidR="00E64309" w:rsidRPr="00FA7217">
        <w:rPr>
          <w:rFonts w:ascii="Times New Roman" w:hAnsi="Times New Roman" w:cs="Times New Roman"/>
        </w:rPr>
        <w:t>una presa in carico universalistica di tutti i cronici</w:t>
      </w:r>
      <w:r w:rsidRPr="00FA7217">
        <w:rPr>
          <w:rFonts w:ascii="Times New Roman" w:hAnsi="Times New Roman" w:cs="Times New Roman"/>
        </w:rPr>
        <w:t xml:space="preserve"> </w:t>
      </w:r>
      <w:r w:rsidR="00E64309" w:rsidRPr="00FA7217">
        <w:rPr>
          <w:rFonts w:ascii="Times New Roman" w:hAnsi="Times New Roman" w:cs="Times New Roman"/>
        </w:rPr>
        <w:t xml:space="preserve">a fronte di una prevalenza tra il 35-40% della popolazione (Istat, 2021). Il target </w:t>
      </w:r>
      <w:r w:rsidR="00792D51">
        <w:rPr>
          <w:rFonts w:ascii="Times New Roman" w:hAnsi="Times New Roman" w:cs="Times New Roman"/>
        </w:rPr>
        <w:t xml:space="preserve">prioritario </w:t>
      </w:r>
      <w:r w:rsidR="00E64309" w:rsidRPr="00FA7217">
        <w:rPr>
          <w:rFonts w:ascii="Times New Roman" w:hAnsi="Times New Roman" w:cs="Times New Roman"/>
        </w:rPr>
        <w:t xml:space="preserve">potrebbe essere definito utilizzando </w:t>
      </w:r>
      <w:r w:rsidR="00792D51">
        <w:rPr>
          <w:rFonts w:ascii="Times New Roman" w:hAnsi="Times New Roman" w:cs="Times New Roman"/>
        </w:rPr>
        <w:t xml:space="preserve">alternativamente </w:t>
      </w:r>
      <w:r w:rsidR="00E64309" w:rsidRPr="00FA7217">
        <w:rPr>
          <w:rFonts w:ascii="Times New Roman" w:hAnsi="Times New Roman" w:cs="Times New Roman"/>
        </w:rPr>
        <w:t>parametri più strettamente sanitari</w:t>
      </w:r>
      <w:r w:rsidR="00792D51">
        <w:rPr>
          <w:rFonts w:ascii="Times New Roman" w:hAnsi="Times New Roman" w:cs="Times New Roman"/>
        </w:rPr>
        <w:t xml:space="preserve"> (stadi di patologia)</w:t>
      </w:r>
      <w:r w:rsidR="00E64309" w:rsidRPr="00FA7217">
        <w:rPr>
          <w:rFonts w:ascii="Times New Roman" w:hAnsi="Times New Roman" w:cs="Times New Roman"/>
        </w:rPr>
        <w:t>, sociali</w:t>
      </w:r>
      <w:r w:rsidR="00792D51">
        <w:rPr>
          <w:rFonts w:ascii="Times New Roman" w:hAnsi="Times New Roman" w:cs="Times New Roman"/>
        </w:rPr>
        <w:t xml:space="preserve"> (solitudine)</w:t>
      </w:r>
      <w:r w:rsidR="00E64309" w:rsidRPr="00FA7217">
        <w:rPr>
          <w:rFonts w:ascii="Times New Roman" w:hAnsi="Times New Roman" w:cs="Times New Roman"/>
        </w:rPr>
        <w:t>, assistenziali</w:t>
      </w:r>
      <w:r w:rsidR="00792D51">
        <w:rPr>
          <w:rFonts w:ascii="Times New Roman" w:hAnsi="Times New Roman" w:cs="Times New Roman"/>
        </w:rPr>
        <w:t xml:space="preserve"> (non autosufficienza), di scarsa aderenza</w:t>
      </w:r>
      <w:r w:rsidR="00E64309" w:rsidRPr="00FA7217">
        <w:rPr>
          <w:rFonts w:ascii="Times New Roman" w:hAnsi="Times New Roman" w:cs="Times New Roman"/>
        </w:rPr>
        <w:t xml:space="preserve"> o una combinazione di questi. In secondo luogo, il DM77 non definisce la ripartizione delle </w:t>
      </w:r>
      <w:r w:rsidR="00E64309" w:rsidRPr="00FA7217">
        <w:rPr>
          <w:rFonts w:ascii="Times New Roman" w:hAnsi="Times New Roman" w:cs="Times New Roman"/>
          <w:i/>
        </w:rPr>
        <w:t xml:space="preserve">responsabilità professionali in merito alle tre fasi della </w:t>
      </w:r>
      <w:r w:rsidR="008057E1">
        <w:rPr>
          <w:rFonts w:ascii="Times New Roman" w:hAnsi="Times New Roman" w:cs="Times New Roman"/>
          <w:i/>
        </w:rPr>
        <w:t xml:space="preserve">PIC </w:t>
      </w:r>
      <w:r w:rsidR="00E64309" w:rsidRPr="00FA7217">
        <w:rPr>
          <w:rFonts w:ascii="Times New Roman" w:hAnsi="Times New Roman" w:cs="Times New Roman"/>
        </w:rPr>
        <w:t>(reclutamento, arruolamento clinico e case management), che a seconda dai pazienti e della loro complessità potrebbero essere assegnate alternativamente al MMG, allo specialista territoriale, allo specialista ospedaliero, all’</w:t>
      </w:r>
      <w:proofErr w:type="spellStart"/>
      <w:r w:rsidR="00E64309" w:rsidRPr="00FA7217">
        <w:rPr>
          <w:rFonts w:ascii="Times New Roman" w:hAnsi="Times New Roman" w:cs="Times New Roman"/>
        </w:rPr>
        <w:t>IFoC</w:t>
      </w:r>
      <w:proofErr w:type="spellEnd"/>
      <w:r w:rsidR="00E64309" w:rsidRPr="00FA7217">
        <w:rPr>
          <w:rFonts w:ascii="Times New Roman" w:hAnsi="Times New Roman" w:cs="Times New Roman"/>
        </w:rPr>
        <w:t xml:space="preserve">, o al personale amministrativo. Un ulteriore punto aperto riguarda la </w:t>
      </w:r>
      <w:r w:rsidR="00E64309" w:rsidRPr="00FA7217">
        <w:rPr>
          <w:rFonts w:ascii="Times New Roman" w:hAnsi="Times New Roman" w:cs="Times New Roman"/>
          <w:i/>
        </w:rPr>
        <w:t>responsabilità della redazione del PAI</w:t>
      </w:r>
      <w:r w:rsidR="00E64309" w:rsidRPr="00FA7217">
        <w:rPr>
          <w:rFonts w:ascii="Times New Roman" w:hAnsi="Times New Roman" w:cs="Times New Roman"/>
        </w:rPr>
        <w:t xml:space="preserve">: l’individuazione di un singolo professionista come responsabile del PAI implica che il resto della filiera venga utilizzata come </w:t>
      </w:r>
      <w:r w:rsidR="00E64309" w:rsidRPr="00FA7217">
        <w:rPr>
          <w:rFonts w:ascii="Times New Roman" w:hAnsi="Times New Roman" w:cs="Times New Roman"/>
          <w:i/>
        </w:rPr>
        <w:t>consultant</w:t>
      </w:r>
      <w:r w:rsidR="00E64309" w:rsidRPr="00FA7217">
        <w:rPr>
          <w:rFonts w:ascii="Times New Roman" w:hAnsi="Times New Roman" w:cs="Times New Roman"/>
        </w:rPr>
        <w:t xml:space="preserve">, garantendo però un’interfaccia stabile nei confronti del paziente. La definizione della responsabilità della redazione del PAI potrebbe dipendere dalle caratteristiche del paziente, in termini di complessità, stadi di patologia e </w:t>
      </w:r>
      <w:proofErr w:type="spellStart"/>
      <w:r w:rsidR="00E64309" w:rsidRPr="00FA7217">
        <w:rPr>
          <w:rFonts w:ascii="Times New Roman" w:hAnsi="Times New Roman" w:cs="Times New Roman"/>
        </w:rPr>
        <w:t>multimorbilità</w:t>
      </w:r>
      <w:proofErr w:type="spellEnd"/>
      <w:r w:rsidR="008057E1">
        <w:rPr>
          <w:rFonts w:ascii="Times New Roman" w:hAnsi="Times New Roman" w:cs="Times New Roman"/>
        </w:rPr>
        <w:t xml:space="preserve"> (per p</w:t>
      </w:r>
      <w:r w:rsidR="00E64309" w:rsidRPr="00FA7217">
        <w:rPr>
          <w:rFonts w:ascii="Times New Roman" w:hAnsi="Times New Roman" w:cs="Times New Roman"/>
        </w:rPr>
        <w:t xml:space="preserve">aziente a stadio alto, complesso e </w:t>
      </w:r>
      <w:proofErr w:type="spellStart"/>
      <w:r w:rsidR="00E64309" w:rsidRPr="00FA7217">
        <w:rPr>
          <w:rFonts w:ascii="Times New Roman" w:hAnsi="Times New Roman" w:cs="Times New Roman"/>
        </w:rPr>
        <w:t>multimorbido</w:t>
      </w:r>
      <w:proofErr w:type="spellEnd"/>
      <w:r w:rsidR="00E64309" w:rsidRPr="00FA7217">
        <w:rPr>
          <w:rFonts w:ascii="Times New Roman" w:hAnsi="Times New Roman" w:cs="Times New Roman"/>
        </w:rPr>
        <w:t xml:space="preserve"> </w:t>
      </w:r>
      <w:r w:rsidR="008057E1">
        <w:rPr>
          <w:rFonts w:ascii="Times New Roman" w:hAnsi="Times New Roman" w:cs="Times New Roman"/>
        </w:rPr>
        <w:t xml:space="preserve">potrebbe redigerlo lo </w:t>
      </w:r>
      <w:r w:rsidR="00E64309" w:rsidRPr="00FA7217">
        <w:rPr>
          <w:rFonts w:ascii="Times New Roman" w:hAnsi="Times New Roman" w:cs="Times New Roman"/>
        </w:rPr>
        <w:t xml:space="preserve">specialista ospedaliero, mentre paziente a bassa complessità e con solo una patologia cronica </w:t>
      </w:r>
      <w:r w:rsidR="008057E1">
        <w:rPr>
          <w:rFonts w:ascii="Times New Roman" w:hAnsi="Times New Roman" w:cs="Times New Roman"/>
        </w:rPr>
        <w:t xml:space="preserve">il </w:t>
      </w:r>
      <w:r w:rsidR="00E64309" w:rsidRPr="00FA7217">
        <w:rPr>
          <w:rFonts w:ascii="Times New Roman" w:hAnsi="Times New Roman" w:cs="Times New Roman"/>
        </w:rPr>
        <w:t>MMG</w:t>
      </w:r>
      <w:r w:rsidR="008057E1">
        <w:rPr>
          <w:rFonts w:ascii="Times New Roman" w:hAnsi="Times New Roman" w:cs="Times New Roman"/>
        </w:rPr>
        <w:t>)</w:t>
      </w:r>
      <w:r w:rsidR="00E64309" w:rsidRPr="00FA7217">
        <w:rPr>
          <w:rFonts w:ascii="Times New Roman" w:hAnsi="Times New Roman" w:cs="Times New Roman"/>
        </w:rPr>
        <w:t xml:space="preserve">. Inoltre, sarà compito delle Regioni o delle ASL definire </w:t>
      </w:r>
      <w:r w:rsidR="00E64309" w:rsidRPr="00FA7217">
        <w:rPr>
          <w:rFonts w:ascii="Times New Roman" w:hAnsi="Times New Roman" w:cs="Times New Roman"/>
          <w:i/>
        </w:rPr>
        <w:t>le funzionalità di servizio specifiche associate dai PAI</w:t>
      </w:r>
      <w:r w:rsidR="00E64309" w:rsidRPr="00FA7217">
        <w:rPr>
          <w:rFonts w:ascii="Times New Roman" w:hAnsi="Times New Roman" w:cs="Times New Roman"/>
        </w:rPr>
        <w:t xml:space="preserve"> (ad esempio, la possibilità di generare automaticamente prenotazioni in back office, inviare </w:t>
      </w:r>
      <w:proofErr w:type="spellStart"/>
      <w:r w:rsidR="00E64309" w:rsidRPr="00FA7217">
        <w:rPr>
          <w:rFonts w:ascii="Times New Roman" w:hAnsi="Times New Roman" w:cs="Times New Roman"/>
          <w:i/>
        </w:rPr>
        <w:t>reminder</w:t>
      </w:r>
      <w:proofErr w:type="spellEnd"/>
      <w:r w:rsidR="00E64309" w:rsidRPr="00FA7217">
        <w:rPr>
          <w:rFonts w:ascii="Times New Roman" w:hAnsi="Times New Roman" w:cs="Times New Roman"/>
        </w:rPr>
        <w:t xml:space="preserve"> sia ai pazienti sia a</w:t>
      </w:r>
      <w:r w:rsidR="00792D51">
        <w:rPr>
          <w:rFonts w:ascii="Times New Roman" w:hAnsi="Times New Roman" w:cs="Times New Roman"/>
        </w:rPr>
        <w:t>i caregiver</w:t>
      </w:r>
      <w:r w:rsidR="00E64309" w:rsidRPr="00FA7217">
        <w:rPr>
          <w:rFonts w:ascii="Times New Roman" w:hAnsi="Times New Roman" w:cs="Times New Roman"/>
        </w:rPr>
        <w:t xml:space="preserve">, generare </w:t>
      </w:r>
      <w:proofErr w:type="spellStart"/>
      <w:r w:rsidR="00E64309" w:rsidRPr="00FA7217">
        <w:rPr>
          <w:rFonts w:ascii="Times New Roman" w:hAnsi="Times New Roman" w:cs="Times New Roman"/>
          <w:i/>
        </w:rPr>
        <w:t>alert</w:t>
      </w:r>
      <w:proofErr w:type="spellEnd"/>
      <w:r w:rsidR="00E64309" w:rsidRPr="00FA7217">
        <w:rPr>
          <w:rFonts w:ascii="Times New Roman" w:hAnsi="Times New Roman" w:cs="Times New Roman"/>
        </w:rPr>
        <w:t xml:space="preserve"> in caso di problemi legati all’aderenza...) anche in base alle infrastrutture informatiche di ciascun contesto e alla possibilità di rendere il PAI un effettivo strumento di integrazione tra i vari pezzi della filiera assistenziale.</w:t>
      </w:r>
      <w:r w:rsidR="00E64309" w:rsidRPr="002F48DD">
        <w:rPr>
          <w:rFonts w:ascii="Times New Roman" w:hAnsi="Times New Roman" w:cs="Times New Roman"/>
        </w:rPr>
        <w:t xml:space="preserve"> </w:t>
      </w:r>
    </w:p>
    <w:p w14:paraId="1D87E4ED" w14:textId="77777777" w:rsidR="00E64309" w:rsidRPr="003E75BA" w:rsidRDefault="00E64309" w:rsidP="004B0463">
      <w:pPr>
        <w:pStyle w:val="Nessunaspaziatura"/>
        <w:jc w:val="both"/>
        <w:rPr>
          <w:rFonts w:ascii="Times New Roman" w:hAnsi="Times New Roman" w:cs="Times New Roman"/>
        </w:rPr>
      </w:pPr>
    </w:p>
    <w:p w14:paraId="6B633C1B" w14:textId="14213508" w:rsidR="00532F13" w:rsidRDefault="00FA7217" w:rsidP="00FA7217">
      <w:pPr>
        <w:pStyle w:val="Nessunaspaziatura"/>
        <w:jc w:val="both"/>
        <w:rPr>
          <w:rFonts w:ascii="Times New Roman" w:hAnsi="Times New Roman" w:cs="Times New Roman"/>
        </w:rPr>
      </w:pPr>
      <w:r>
        <w:rPr>
          <w:rFonts w:ascii="Times New Roman" w:hAnsi="Times New Roman" w:cs="Times New Roman"/>
        </w:rPr>
        <w:t xml:space="preserve">Per </w:t>
      </w:r>
      <w:r w:rsidR="00792D51">
        <w:rPr>
          <w:rFonts w:ascii="Times New Roman" w:hAnsi="Times New Roman" w:cs="Times New Roman"/>
        </w:rPr>
        <w:t>sciogliere localmente</w:t>
      </w:r>
      <w:r>
        <w:rPr>
          <w:rFonts w:ascii="Times New Roman" w:hAnsi="Times New Roman" w:cs="Times New Roman"/>
        </w:rPr>
        <w:t xml:space="preserve"> le indeterminatezze illustrate, si </w:t>
      </w:r>
      <w:r w:rsidR="00792D51">
        <w:rPr>
          <w:rFonts w:ascii="Times New Roman" w:hAnsi="Times New Roman" w:cs="Times New Roman"/>
        </w:rPr>
        <w:t xml:space="preserve">propongono quattro </w:t>
      </w:r>
      <w:r>
        <w:rPr>
          <w:rFonts w:ascii="Times New Roman" w:hAnsi="Times New Roman" w:cs="Times New Roman"/>
        </w:rPr>
        <w:t>suggestioni</w:t>
      </w:r>
      <w:r w:rsidR="00792D51">
        <w:rPr>
          <w:rFonts w:ascii="Times New Roman" w:hAnsi="Times New Roman" w:cs="Times New Roman"/>
        </w:rPr>
        <w:t xml:space="preserve"> utili</w:t>
      </w:r>
      <w:r w:rsidRPr="002F48DD">
        <w:rPr>
          <w:rFonts w:ascii="Times New Roman" w:hAnsi="Times New Roman" w:cs="Times New Roman"/>
        </w:rPr>
        <w:t xml:space="preserve"> a identificare la soluzione strategica da adottare nel contesto in cui opera</w:t>
      </w:r>
      <w:r w:rsidR="00792D51">
        <w:rPr>
          <w:rFonts w:ascii="Times New Roman" w:hAnsi="Times New Roman" w:cs="Times New Roman"/>
        </w:rPr>
        <w:t>:</w:t>
      </w:r>
      <w:r>
        <w:rPr>
          <w:rFonts w:ascii="Times New Roman" w:hAnsi="Times New Roman" w:cs="Times New Roman"/>
        </w:rPr>
        <w:t xml:space="preserve"> i) nuove metriche per </w:t>
      </w:r>
      <w:proofErr w:type="spellStart"/>
      <w:r w:rsidRPr="0084234B">
        <w:rPr>
          <w:rFonts w:ascii="Times New Roman" w:hAnsi="Times New Roman" w:cs="Times New Roman"/>
          <w:i/>
        </w:rPr>
        <w:t>clusterizzare</w:t>
      </w:r>
      <w:proofErr w:type="spellEnd"/>
      <w:r>
        <w:rPr>
          <w:rFonts w:ascii="Times New Roman" w:hAnsi="Times New Roman" w:cs="Times New Roman"/>
        </w:rPr>
        <w:t xml:space="preserve"> i pazienti; ii)</w:t>
      </w:r>
      <w:r w:rsidR="00B56207">
        <w:rPr>
          <w:rFonts w:ascii="Times New Roman" w:hAnsi="Times New Roman" w:cs="Times New Roman"/>
        </w:rPr>
        <w:t xml:space="preserve"> </w:t>
      </w:r>
      <w:r w:rsidR="00B56207">
        <w:rPr>
          <w:rFonts w:ascii="Times New Roman" w:hAnsi="Times New Roman" w:cs="Times New Roman"/>
        </w:rPr>
        <w:t>il ruolo del digitale</w:t>
      </w:r>
      <w:r>
        <w:rPr>
          <w:rFonts w:ascii="Times New Roman" w:hAnsi="Times New Roman" w:cs="Times New Roman"/>
        </w:rPr>
        <w:t xml:space="preserve">; iii) </w:t>
      </w:r>
      <w:r w:rsidR="00B56207">
        <w:rPr>
          <w:rFonts w:ascii="Times New Roman" w:hAnsi="Times New Roman" w:cs="Times New Roman"/>
        </w:rPr>
        <w:t>una nuova concezione di prossimità</w:t>
      </w:r>
      <w:r>
        <w:rPr>
          <w:rFonts w:ascii="Times New Roman" w:hAnsi="Times New Roman" w:cs="Times New Roman"/>
        </w:rPr>
        <w:t>; iv) il ruolo delle professioni infermieristiche.</w:t>
      </w:r>
    </w:p>
    <w:p w14:paraId="5460DFDB" w14:textId="77777777" w:rsidR="00B56207" w:rsidRDefault="00FA7217" w:rsidP="00BC254A">
      <w:pPr>
        <w:pStyle w:val="Nessunaspaziatura"/>
        <w:numPr>
          <w:ilvl w:val="0"/>
          <w:numId w:val="2"/>
        </w:numPr>
        <w:jc w:val="both"/>
        <w:rPr>
          <w:rFonts w:ascii="Times New Roman" w:hAnsi="Times New Roman" w:cs="Times New Roman"/>
        </w:rPr>
      </w:pPr>
      <w:r>
        <w:rPr>
          <w:rFonts w:ascii="Times New Roman" w:hAnsi="Times New Roman" w:cs="Times New Roman"/>
        </w:rPr>
        <w:t>La decisione di una metrica fra gruppi di patolog</w:t>
      </w:r>
      <w:r w:rsidR="008057E1">
        <w:rPr>
          <w:rFonts w:ascii="Times New Roman" w:hAnsi="Times New Roman" w:cs="Times New Roman"/>
        </w:rPr>
        <w:t>i</w:t>
      </w:r>
      <w:r>
        <w:rPr>
          <w:rFonts w:ascii="Times New Roman" w:hAnsi="Times New Roman" w:cs="Times New Roman"/>
        </w:rPr>
        <w:t xml:space="preserve">a, stadio di patologia, grado di aderenza alla terapia e livello di educazione sanitaria influenza trasversalmente la progettazione </w:t>
      </w:r>
      <w:r w:rsidRPr="002F48DD">
        <w:rPr>
          <w:rFonts w:ascii="Times New Roman" w:hAnsi="Times New Roman" w:cs="Times New Roman"/>
        </w:rPr>
        <w:t xml:space="preserve">della </w:t>
      </w:r>
      <w:r w:rsidR="0006162A">
        <w:rPr>
          <w:rFonts w:ascii="Times New Roman" w:hAnsi="Times New Roman" w:cs="Times New Roman"/>
        </w:rPr>
        <w:t>PIC</w:t>
      </w:r>
      <w:r w:rsidRPr="002F48DD">
        <w:rPr>
          <w:rFonts w:ascii="Times New Roman" w:hAnsi="Times New Roman" w:cs="Times New Roman"/>
        </w:rPr>
        <w:t>, della sanità d’iniziativa e del disegno dei canali di accesso</w:t>
      </w:r>
      <w:r>
        <w:rPr>
          <w:rFonts w:ascii="Times New Roman" w:hAnsi="Times New Roman" w:cs="Times New Roman"/>
        </w:rPr>
        <w:t xml:space="preserve">. </w:t>
      </w:r>
      <w:r w:rsidR="00532F13">
        <w:rPr>
          <w:rFonts w:ascii="Times New Roman" w:hAnsi="Times New Roman" w:cs="Times New Roman"/>
        </w:rPr>
        <w:t>La decisione di</w:t>
      </w:r>
      <w:r>
        <w:rPr>
          <w:rFonts w:ascii="Times New Roman" w:hAnsi="Times New Roman" w:cs="Times New Roman"/>
        </w:rPr>
        <w:t xml:space="preserve"> basare le classificazioni sulla distinzione fra pazienti aderenti e non aderenti, per esempio, </w:t>
      </w:r>
      <w:r w:rsidRPr="002F48DD">
        <w:rPr>
          <w:rFonts w:ascii="Times New Roman" w:hAnsi="Times New Roman" w:cs="Times New Roman"/>
        </w:rPr>
        <w:t xml:space="preserve">potrebbe permettere di rivolgersi in modo mirato ai pazienti che non rispettano la cura prevista dal </w:t>
      </w:r>
      <w:r>
        <w:rPr>
          <w:rFonts w:ascii="Times New Roman" w:hAnsi="Times New Roman" w:cs="Times New Roman"/>
        </w:rPr>
        <w:t>responsabile clinico del PAI</w:t>
      </w:r>
      <w:r w:rsidRPr="002F48DD">
        <w:rPr>
          <w:rFonts w:ascii="Times New Roman" w:hAnsi="Times New Roman" w:cs="Times New Roman"/>
        </w:rPr>
        <w:t xml:space="preserve"> per poter integrare interventi educazionali personalizzati piuttosto che iniziative di comunità che possano incentivare il soggetto alla </w:t>
      </w:r>
      <w:r w:rsidRPr="002F48DD">
        <w:rPr>
          <w:rFonts w:ascii="Times New Roman" w:hAnsi="Times New Roman" w:cs="Times New Roman"/>
          <w:i/>
        </w:rPr>
        <w:t>compliance</w:t>
      </w:r>
      <w:r>
        <w:rPr>
          <w:rFonts w:ascii="Times New Roman" w:hAnsi="Times New Roman" w:cs="Times New Roman"/>
        </w:rPr>
        <w:t xml:space="preserve"> </w:t>
      </w:r>
      <w:r w:rsidRPr="002F48DD">
        <w:rPr>
          <w:rFonts w:ascii="Times New Roman" w:hAnsi="Times New Roman" w:cs="Times New Roman"/>
        </w:rPr>
        <w:t>e conseguentemente migliorare il suo stato di salute</w:t>
      </w:r>
      <w:r>
        <w:rPr>
          <w:rFonts w:ascii="Times New Roman" w:hAnsi="Times New Roman" w:cs="Times New Roman"/>
        </w:rPr>
        <w:t xml:space="preserve">. Decidere di classificare i pazienti secondo l’educazione sanitaria, invece, </w:t>
      </w:r>
      <w:r w:rsidRPr="002F48DD">
        <w:rPr>
          <w:rFonts w:ascii="Times New Roman" w:hAnsi="Times New Roman" w:cs="Times New Roman"/>
        </w:rPr>
        <w:t xml:space="preserve">può aiutare a definire </w:t>
      </w:r>
      <w:r w:rsidR="00792D51">
        <w:rPr>
          <w:rFonts w:ascii="Times New Roman" w:hAnsi="Times New Roman" w:cs="Times New Roman"/>
        </w:rPr>
        <w:t xml:space="preserve">ex ante </w:t>
      </w:r>
      <w:r w:rsidRPr="002F48DD">
        <w:rPr>
          <w:rFonts w:ascii="Times New Roman" w:hAnsi="Times New Roman" w:cs="Times New Roman"/>
        </w:rPr>
        <w:t>i canali comunicativi da utilizzare</w:t>
      </w:r>
      <w:r>
        <w:rPr>
          <w:rFonts w:ascii="Times New Roman" w:hAnsi="Times New Roman" w:cs="Times New Roman"/>
        </w:rPr>
        <w:t>, i messaggi da privilegiare</w:t>
      </w:r>
      <w:r w:rsidRPr="002F48DD">
        <w:rPr>
          <w:rFonts w:ascii="Times New Roman" w:hAnsi="Times New Roman" w:cs="Times New Roman"/>
        </w:rPr>
        <w:t xml:space="preserve"> e le figure professionali da ingaggiare per la loro presa in carico. </w:t>
      </w:r>
    </w:p>
    <w:p w14:paraId="2DB2CD58" w14:textId="1F432373" w:rsidR="00B56207" w:rsidRDefault="0006162A" w:rsidP="00FA7217">
      <w:pPr>
        <w:pStyle w:val="Nessunaspaziatura"/>
        <w:numPr>
          <w:ilvl w:val="0"/>
          <w:numId w:val="2"/>
        </w:numPr>
        <w:jc w:val="both"/>
        <w:rPr>
          <w:rFonts w:ascii="Times New Roman" w:hAnsi="Times New Roman" w:cs="Times New Roman"/>
        </w:rPr>
      </w:pPr>
      <w:r w:rsidRPr="00B56207">
        <w:rPr>
          <w:rFonts w:ascii="Times New Roman" w:hAnsi="Times New Roman" w:cs="Times New Roman"/>
        </w:rPr>
        <w:t>Se il digitale assume</w:t>
      </w:r>
      <w:r w:rsidR="00B56207">
        <w:rPr>
          <w:rFonts w:ascii="Times New Roman" w:hAnsi="Times New Roman" w:cs="Times New Roman"/>
        </w:rPr>
        <w:t>sse</w:t>
      </w:r>
      <w:r w:rsidRPr="00B56207">
        <w:rPr>
          <w:rFonts w:ascii="Times New Roman" w:hAnsi="Times New Roman" w:cs="Times New Roman"/>
        </w:rPr>
        <w:t xml:space="preserve"> un ruolo prevalente </w:t>
      </w:r>
      <w:r w:rsidR="00B56207">
        <w:rPr>
          <w:rFonts w:ascii="Times New Roman" w:hAnsi="Times New Roman" w:cs="Times New Roman"/>
        </w:rPr>
        <w:t>(</w:t>
      </w:r>
      <w:r w:rsidRPr="00B56207">
        <w:rPr>
          <w:rFonts w:ascii="Times New Roman" w:hAnsi="Times New Roman" w:cs="Times New Roman"/>
          <w:i/>
        </w:rPr>
        <w:t>digital first</w:t>
      </w:r>
      <w:r w:rsidRPr="00B56207">
        <w:rPr>
          <w:rFonts w:ascii="Times New Roman" w:hAnsi="Times New Roman" w:cs="Times New Roman"/>
        </w:rPr>
        <w:t xml:space="preserve">), </w:t>
      </w:r>
      <w:r w:rsidR="00BC254A" w:rsidRPr="00B56207">
        <w:rPr>
          <w:rFonts w:ascii="Times New Roman" w:hAnsi="Times New Roman" w:cs="Times New Roman"/>
        </w:rPr>
        <w:t>esso potrebbe essere la soluzione prioritaria per l’accesso e</w:t>
      </w:r>
      <w:r w:rsidR="0083053E">
        <w:rPr>
          <w:rFonts w:ascii="Times New Roman" w:hAnsi="Times New Roman" w:cs="Times New Roman"/>
        </w:rPr>
        <w:t xml:space="preserve"> </w:t>
      </w:r>
      <w:r w:rsidR="00BC254A" w:rsidRPr="00B56207">
        <w:rPr>
          <w:rFonts w:ascii="Times New Roman" w:hAnsi="Times New Roman" w:cs="Times New Roman"/>
        </w:rPr>
        <w:t xml:space="preserve">l’erogazione dei servizi e per le relazioni con gli utenti, in un’ottica di una </w:t>
      </w:r>
      <w:r w:rsidRPr="00B56207">
        <w:rPr>
          <w:rFonts w:ascii="Times New Roman" w:hAnsi="Times New Roman" w:cs="Times New Roman"/>
        </w:rPr>
        <w:t xml:space="preserve">PIC </w:t>
      </w:r>
      <w:r w:rsidR="00BC254A" w:rsidRPr="00B56207">
        <w:rPr>
          <w:rFonts w:ascii="Times New Roman" w:hAnsi="Times New Roman" w:cs="Times New Roman"/>
        </w:rPr>
        <w:t xml:space="preserve">prevalentemente da remoto. In questo caso, la relazione </w:t>
      </w:r>
      <w:r w:rsidRPr="00B56207">
        <w:rPr>
          <w:rFonts w:ascii="Times New Roman" w:hAnsi="Times New Roman" w:cs="Times New Roman"/>
        </w:rPr>
        <w:t xml:space="preserve">verrebbe mantenuta attraverso lo </w:t>
      </w:r>
      <w:r w:rsidR="00BC254A" w:rsidRPr="00B56207">
        <w:rPr>
          <w:rFonts w:ascii="Times New Roman" w:hAnsi="Times New Roman" w:cs="Times New Roman"/>
        </w:rPr>
        <w:t>sviluppo di algoritmi (intelligenze artificiali) che</w:t>
      </w:r>
      <w:r w:rsidR="00532F13" w:rsidRPr="00B56207">
        <w:rPr>
          <w:rFonts w:ascii="Times New Roman" w:hAnsi="Times New Roman" w:cs="Times New Roman"/>
        </w:rPr>
        <w:t xml:space="preserve"> </w:t>
      </w:r>
      <w:r w:rsidR="00BC254A" w:rsidRPr="00B56207">
        <w:rPr>
          <w:rFonts w:ascii="Times New Roman" w:hAnsi="Times New Roman" w:cs="Times New Roman"/>
          <w:color w:val="000000" w:themeColor="text1"/>
        </w:rPr>
        <w:t xml:space="preserve">si possono interfacciare con l’utente </w:t>
      </w:r>
      <w:r w:rsidR="00BC254A" w:rsidRPr="00B56207">
        <w:rPr>
          <w:rFonts w:ascii="Times New Roman" w:hAnsi="Times New Roman" w:cs="Times New Roman"/>
        </w:rPr>
        <w:t xml:space="preserve">per rispondere ad una serie di bisogni classificabili e riconoscibili dall’algoritmo stesso. Adottando, invece, una </w:t>
      </w:r>
      <w:r w:rsidRPr="00B56207">
        <w:rPr>
          <w:rFonts w:ascii="Times New Roman" w:hAnsi="Times New Roman" w:cs="Times New Roman"/>
        </w:rPr>
        <w:t>prospettiva di digitale con un ruolo complementare</w:t>
      </w:r>
      <w:r w:rsidR="00BC254A" w:rsidRPr="00B56207">
        <w:rPr>
          <w:rFonts w:ascii="Times New Roman" w:hAnsi="Times New Roman" w:cs="Times New Roman"/>
        </w:rPr>
        <w:t>, la piattaforma fisica rimarrebbe luogo di cura privilegiato e il digitale diventerebbe un’opzione riservata solo a specifici utenti</w:t>
      </w:r>
      <w:r w:rsidRPr="00B56207">
        <w:rPr>
          <w:rFonts w:ascii="Times New Roman" w:hAnsi="Times New Roman" w:cs="Times New Roman"/>
        </w:rPr>
        <w:t xml:space="preserve"> (ad</w:t>
      </w:r>
      <w:r w:rsidR="00BC254A" w:rsidRPr="00B56207">
        <w:rPr>
          <w:rFonts w:ascii="Times New Roman" w:hAnsi="Times New Roman" w:cs="Times New Roman"/>
        </w:rPr>
        <w:t xml:space="preserve"> alta educazione digitale</w:t>
      </w:r>
      <w:r w:rsidRPr="00B56207">
        <w:rPr>
          <w:rFonts w:ascii="Times New Roman" w:hAnsi="Times New Roman" w:cs="Times New Roman"/>
        </w:rPr>
        <w:t>)</w:t>
      </w:r>
      <w:r w:rsidR="00BC254A" w:rsidRPr="00B56207">
        <w:rPr>
          <w:rFonts w:ascii="Times New Roman" w:hAnsi="Times New Roman" w:cs="Times New Roman"/>
        </w:rPr>
        <w:t>, piuttosto che a specifiche fasi del percorso assistenziale</w:t>
      </w:r>
      <w:r w:rsidRPr="00B56207">
        <w:rPr>
          <w:rFonts w:ascii="Times New Roman" w:hAnsi="Times New Roman" w:cs="Times New Roman"/>
        </w:rPr>
        <w:t xml:space="preserve"> (</w:t>
      </w:r>
      <w:r w:rsidR="00BC254A" w:rsidRPr="00B56207">
        <w:rPr>
          <w:rFonts w:ascii="Times New Roman" w:hAnsi="Times New Roman" w:cs="Times New Roman"/>
        </w:rPr>
        <w:t>accesso ai servizi, prenotazione</w:t>
      </w:r>
      <w:r w:rsidRPr="00B56207">
        <w:rPr>
          <w:rFonts w:ascii="Times New Roman" w:hAnsi="Times New Roman" w:cs="Times New Roman"/>
        </w:rPr>
        <w:t xml:space="preserve">, </w:t>
      </w:r>
      <w:r w:rsidR="00BC254A" w:rsidRPr="00B56207">
        <w:rPr>
          <w:rFonts w:ascii="Times New Roman" w:hAnsi="Times New Roman" w:cs="Times New Roman"/>
        </w:rPr>
        <w:t xml:space="preserve">refertazione delle prestazioni </w:t>
      </w:r>
      <w:r w:rsidRPr="00B56207">
        <w:rPr>
          <w:rFonts w:ascii="Times New Roman" w:hAnsi="Times New Roman" w:cs="Times New Roman"/>
        </w:rPr>
        <w:t xml:space="preserve">e </w:t>
      </w:r>
      <w:r w:rsidR="00BC254A" w:rsidRPr="00B56207">
        <w:rPr>
          <w:rFonts w:ascii="Times New Roman" w:hAnsi="Times New Roman" w:cs="Times New Roman"/>
        </w:rPr>
        <w:t xml:space="preserve">momenti di follow </w:t>
      </w:r>
      <w:r w:rsidR="00BC254A" w:rsidRPr="00B56207">
        <w:rPr>
          <w:rFonts w:ascii="Times New Roman" w:hAnsi="Times New Roman" w:cs="Times New Roman"/>
          <w:color w:val="000000" w:themeColor="text1"/>
        </w:rPr>
        <w:t>up</w:t>
      </w:r>
      <w:r w:rsidRPr="00B56207">
        <w:rPr>
          <w:rFonts w:ascii="Times New Roman" w:hAnsi="Times New Roman" w:cs="Times New Roman"/>
          <w:color w:val="000000" w:themeColor="text1"/>
        </w:rPr>
        <w:t>)</w:t>
      </w:r>
      <w:r w:rsidR="00BC254A" w:rsidRPr="00B56207">
        <w:rPr>
          <w:rFonts w:ascii="Times New Roman" w:hAnsi="Times New Roman" w:cs="Times New Roman"/>
          <w:color w:val="000000" w:themeColor="text1"/>
        </w:rPr>
        <w:t xml:space="preserve">. </w:t>
      </w:r>
    </w:p>
    <w:p w14:paraId="7778B5B8" w14:textId="77777777" w:rsidR="0083053E" w:rsidRDefault="00B56207" w:rsidP="00622935">
      <w:pPr>
        <w:pStyle w:val="Nessunaspaziatura"/>
        <w:numPr>
          <w:ilvl w:val="0"/>
          <w:numId w:val="2"/>
        </w:numPr>
        <w:jc w:val="both"/>
        <w:rPr>
          <w:rFonts w:ascii="Times New Roman" w:hAnsi="Times New Roman" w:cs="Times New Roman"/>
        </w:rPr>
      </w:pPr>
      <w:r>
        <w:rPr>
          <w:rFonts w:ascii="Times New Roman" w:hAnsi="Times New Roman" w:cs="Times New Roman"/>
        </w:rPr>
        <w:t xml:space="preserve">Cosa intendiamo per </w:t>
      </w:r>
      <w:r w:rsidR="00BC254A" w:rsidRPr="00B56207">
        <w:rPr>
          <w:rFonts w:ascii="Times New Roman" w:hAnsi="Times New Roman" w:cs="Times New Roman"/>
        </w:rPr>
        <w:t>“prossimità” nell’epoca contemporanea</w:t>
      </w:r>
      <w:r>
        <w:rPr>
          <w:rFonts w:ascii="Times New Roman" w:hAnsi="Times New Roman" w:cs="Times New Roman"/>
        </w:rPr>
        <w:t>?</w:t>
      </w:r>
      <w:r w:rsidR="00BC254A" w:rsidRPr="00B56207">
        <w:rPr>
          <w:rFonts w:ascii="Times New Roman" w:hAnsi="Times New Roman" w:cs="Times New Roman"/>
        </w:rPr>
        <w:t xml:space="preserve"> Una interpretazione </w:t>
      </w:r>
      <w:r>
        <w:rPr>
          <w:rFonts w:ascii="Times New Roman" w:hAnsi="Times New Roman" w:cs="Times New Roman"/>
        </w:rPr>
        <w:t xml:space="preserve">moderna </w:t>
      </w:r>
      <w:r w:rsidR="00BC254A" w:rsidRPr="00B56207">
        <w:rPr>
          <w:rFonts w:ascii="Times New Roman" w:hAnsi="Times New Roman" w:cs="Times New Roman"/>
        </w:rPr>
        <w:t>potrebbe essere, al posto di “</w:t>
      </w:r>
      <w:r w:rsidR="00BC254A" w:rsidRPr="00B56207">
        <w:rPr>
          <w:rFonts w:ascii="Times New Roman" w:hAnsi="Times New Roman" w:cs="Times New Roman"/>
          <w:bCs/>
        </w:rPr>
        <w:t xml:space="preserve">struttura fisica vicina all’utente” oppure “servizio erogato a domicilio”, l’instaurazione di una relazione di servizio, personale e duratura, con un operatore di riferimento, alimentata da un mix di strumenti digitali e accessi fisici. Questa diversa interpretazione comporterebbe significative conseguenze in termini di disegno dei servizi e canali di accesso. </w:t>
      </w:r>
      <w:r w:rsidR="00BC254A" w:rsidRPr="00B56207">
        <w:rPr>
          <w:rFonts w:ascii="Times New Roman" w:hAnsi="Times New Roman" w:cs="Times New Roman"/>
        </w:rPr>
        <w:t xml:space="preserve">Se la prossimità diventa sinonimo di relazione strutturata e continuativa con un operatore del SSN si potrà disegnare la </w:t>
      </w:r>
      <w:r w:rsidR="0006162A" w:rsidRPr="00B56207">
        <w:rPr>
          <w:rFonts w:ascii="Times New Roman" w:hAnsi="Times New Roman" w:cs="Times New Roman"/>
        </w:rPr>
        <w:t>PIC</w:t>
      </w:r>
      <w:r w:rsidR="00BC254A" w:rsidRPr="00B56207">
        <w:rPr>
          <w:rFonts w:ascii="Times New Roman" w:hAnsi="Times New Roman" w:cs="Times New Roman"/>
        </w:rPr>
        <w:t xml:space="preserve"> con una componente di digitale più forte, imperniata intorno a un professionista </w:t>
      </w:r>
      <w:r>
        <w:rPr>
          <w:rFonts w:ascii="Times New Roman" w:hAnsi="Times New Roman" w:cs="Times New Roman"/>
        </w:rPr>
        <w:t xml:space="preserve">prevalente </w:t>
      </w:r>
      <w:r w:rsidR="00BC254A" w:rsidRPr="00B56207">
        <w:rPr>
          <w:rFonts w:ascii="Times New Roman" w:hAnsi="Times New Roman" w:cs="Times New Roman"/>
        </w:rPr>
        <w:t xml:space="preserve">che possa mantenere una relazione stabile con il paziente. Questa </w:t>
      </w:r>
      <w:r w:rsidR="0083053E">
        <w:rPr>
          <w:rFonts w:ascii="Times New Roman" w:hAnsi="Times New Roman" w:cs="Times New Roman"/>
        </w:rPr>
        <w:t>concezione contemporanea di “prossimità”</w:t>
      </w:r>
      <w:r w:rsidR="00BC254A" w:rsidRPr="00B56207">
        <w:rPr>
          <w:rFonts w:ascii="Times New Roman" w:hAnsi="Times New Roman" w:cs="Times New Roman"/>
        </w:rPr>
        <w:t xml:space="preserve"> apre alla riflessione su chi debba essere l’operatore di riferimento stabile più appropriato per stadi di patologia o per literacy sanitaria: amministrativi, operatori sociosanitari, professioni sanitarie, medici convenzionati o dipendenti.</w:t>
      </w:r>
    </w:p>
    <w:p w14:paraId="67C656E4" w14:textId="0C0A8AEA" w:rsidR="00622935" w:rsidRPr="0083053E" w:rsidRDefault="00622935" w:rsidP="0006162A">
      <w:pPr>
        <w:pStyle w:val="Nessunaspaziatura"/>
        <w:numPr>
          <w:ilvl w:val="0"/>
          <w:numId w:val="2"/>
        </w:numPr>
        <w:jc w:val="both"/>
        <w:rPr>
          <w:rFonts w:ascii="Times New Roman" w:hAnsi="Times New Roman" w:cs="Times New Roman"/>
        </w:rPr>
      </w:pPr>
      <w:r w:rsidRPr="0083053E">
        <w:rPr>
          <w:rFonts w:ascii="Times New Roman" w:hAnsi="Times New Roman" w:cs="Times New Roman"/>
        </w:rPr>
        <w:t xml:space="preserve">Mentre non cessano di esistere </w:t>
      </w:r>
      <w:r w:rsidRPr="0083053E">
        <w:rPr>
          <w:rFonts w:ascii="Times New Roman" w:hAnsi="Times New Roman" w:cs="Times New Roman"/>
          <w:iCs/>
        </w:rPr>
        <w:t xml:space="preserve">responsabilità prestazionali, </w:t>
      </w:r>
      <w:r w:rsidRPr="0083053E">
        <w:rPr>
          <w:rFonts w:ascii="Times New Roman" w:hAnsi="Times New Roman" w:cs="Times New Roman"/>
        </w:rPr>
        <w:t>l</w:t>
      </w:r>
      <w:r w:rsidR="00BC254A" w:rsidRPr="0083053E">
        <w:rPr>
          <w:rFonts w:ascii="Times New Roman" w:hAnsi="Times New Roman" w:cs="Times New Roman"/>
        </w:rPr>
        <w:t>e</w:t>
      </w:r>
      <w:r w:rsidR="00BC254A" w:rsidRPr="0083053E">
        <w:rPr>
          <w:rFonts w:ascii="Times New Roman" w:hAnsi="Times New Roman" w:cs="Times New Roman"/>
          <w:iCs/>
        </w:rPr>
        <w:t xml:space="preserve"> </w:t>
      </w:r>
      <w:r w:rsidR="00BC254A" w:rsidRPr="0083053E">
        <w:rPr>
          <w:rFonts w:ascii="Times New Roman" w:hAnsi="Times New Roman" w:cs="Times New Roman"/>
          <w:bCs/>
          <w:iCs/>
        </w:rPr>
        <w:t>professioni sanitarie</w:t>
      </w:r>
      <w:r w:rsidR="00BC254A" w:rsidRPr="0083053E">
        <w:rPr>
          <w:rFonts w:ascii="Times New Roman" w:hAnsi="Times New Roman" w:cs="Times New Roman"/>
          <w:iCs/>
        </w:rPr>
        <w:t xml:space="preserve"> sono state individuate in via esclusiva per il ruolo di </w:t>
      </w:r>
      <w:r w:rsidR="00BC254A" w:rsidRPr="0083053E">
        <w:rPr>
          <w:rFonts w:ascii="Times New Roman" w:hAnsi="Times New Roman" w:cs="Times New Roman"/>
          <w:bCs/>
          <w:iCs/>
        </w:rPr>
        <w:t xml:space="preserve">coordinatrici dei nuovi setting assistenziali territoriali </w:t>
      </w:r>
      <w:r w:rsidR="00BC254A" w:rsidRPr="0083053E">
        <w:rPr>
          <w:rFonts w:ascii="Times New Roman" w:hAnsi="Times New Roman" w:cs="Times New Roman"/>
          <w:iCs/>
        </w:rPr>
        <w:t>(</w:t>
      </w:r>
      <w:proofErr w:type="spellStart"/>
      <w:r w:rsidR="00BC254A" w:rsidRPr="0083053E">
        <w:rPr>
          <w:rFonts w:ascii="Times New Roman" w:hAnsi="Times New Roman" w:cs="Times New Roman"/>
          <w:iCs/>
        </w:rPr>
        <w:t>CdC</w:t>
      </w:r>
      <w:proofErr w:type="spellEnd"/>
      <w:r w:rsidR="00BC254A" w:rsidRPr="0083053E">
        <w:rPr>
          <w:rFonts w:ascii="Times New Roman" w:hAnsi="Times New Roman" w:cs="Times New Roman"/>
          <w:iCs/>
        </w:rPr>
        <w:t xml:space="preserve">, </w:t>
      </w:r>
      <w:proofErr w:type="spellStart"/>
      <w:r w:rsidR="00BC254A" w:rsidRPr="0083053E">
        <w:rPr>
          <w:rFonts w:ascii="Times New Roman" w:hAnsi="Times New Roman" w:cs="Times New Roman"/>
          <w:iCs/>
        </w:rPr>
        <w:t>OdC</w:t>
      </w:r>
      <w:proofErr w:type="spellEnd"/>
      <w:r w:rsidR="00BC254A" w:rsidRPr="0083053E">
        <w:rPr>
          <w:rFonts w:ascii="Times New Roman" w:hAnsi="Times New Roman" w:cs="Times New Roman"/>
          <w:iCs/>
        </w:rPr>
        <w:t xml:space="preserve">, COT, ADI, </w:t>
      </w:r>
      <w:proofErr w:type="spellStart"/>
      <w:r w:rsidR="00BC254A" w:rsidRPr="0083053E">
        <w:rPr>
          <w:rFonts w:ascii="Times New Roman" w:hAnsi="Times New Roman" w:cs="Times New Roman"/>
          <w:iCs/>
        </w:rPr>
        <w:t>etc</w:t>
      </w:r>
      <w:proofErr w:type="spellEnd"/>
      <w:r w:rsidR="00BC254A" w:rsidRPr="0083053E">
        <w:rPr>
          <w:rFonts w:ascii="Times New Roman" w:hAnsi="Times New Roman" w:cs="Times New Roman"/>
          <w:iCs/>
        </w:rPr>
        <w:t>) e pertanto avranno un ruolo centrale nello sviluppo d</w:t>
      </w:r>
      <w:r w:rsidRPr="0083053E">
        <w:rPr>
          <w:rFonts w:ascii="Times New Roman" w:hAnsi="Times New Roman" w:cs="Times New Roman"/>
          <w:iCs/>
        </w:rPr>
        <w:t xml:space="preserve">el sistema sanitario. Il ruolo delle professioni sanitarie oggi può quindi </w:t>
      </w:r>
      <w:r w:rsidR="0083053E">
        <w:rPr>
          <w:rFonts w:ascii="Times New Roman" w:hAnsi="Times New Roman" w:cs="Times New Roman"/>
          <w:iCs/>
        </w:rPr>
        <w:t xml:space="preserve">continuare a </w:t>
      </w:r>
      <w:r w:rsidR="00BC254A" w:rsidRPr="0083053E">
        <w:rPr>
          <w:rFonts w:ascii="Times New Roman" w:hAnsi="Times New Roman" w:cs="Times New Roman"/>
        </w:rPr>
        <w:t xml:space="preserve">propendere </w:t>
      </w:r>
      <w:r w:rsidRPr="0083053E">
        <w:rPr>
          <w:rFonts w:ascii="Times New Roman" w:hAnsi="Times New Roman" w:cs="Times New Roman"/>
        </w:rPr>
        <w:t xml:space="preserve">più </w:t>
      </w:r>
      <w:r w:rsidR="00BC254A" w:rsidRPr="0083053E">
        <w:rPr>
          <w:rFonts w:ascii="Times New Roman" w:hAnsi="Times New Roman" w:cs="Times New Roman"/>
        </w:rPr>
        <w:t>verso una vocazione prestazionale</w:t>
      </w:r>
      <w:r w:rsidR="00552E9F" w:rsidRPr="0083053E">
        <w:rPr>
          <w:rFonts w:ascii="Times New Roman" w:hAnsi="Times New Roman" w:cs="Times New Roman"/>
        </w:rPr>
        <w:t xml:space="preserve">, </w:t>
      </w:r>
      <w:r w:rsidR="0083053E">
        <w:rPr>
          <w:rFonts w:ascii="Times New Roman" w:hAnsi="Times New Roman" w:cs="Times New Roman"/>
        </w:rPr>
        <w:t>oppure a favore del</w:t>
      </w:r>
      <w:r w:rsidR="00552E9F" w:rsidRPr="0083053E">
        <w:rPr>
          <w:rFonts w:ascii="Times New Roman" w:hAnsi="Times New Roman" w:cs="Times New Roman"/>
        </w:rPr>
        <w:t xml:space="preserve">la </w:t>
      </w:r>
      <w:r w:rsidR="00BC254A" w:rsidRPr="0083053E">
        <w:rPr>
          <w:rFonts w:ascii="Times New Roman" w:hAnsi="Times New Roman" w:cs="Times New Roman"/>
        </w:rPr>
        <w:t>gestione dei setting assistenziali</w:t>
      </w:r>
      <w:r w:rsidR="00552E9F" w:rsidRPr="0083053E">
        <w:rPr>
          <w:rFonts w:ascii="Times New Roman" w:hAnsi="Times New Roman" w:cs="Times New Roman"/>
        </w:rPr>
        <w:t xml:space="preserve"> oppure il </w:t>
      </w:r>
      <w:r w:rsidR="00BC254A" w:rsidRPr="0083053E">
        <w:rPr>
          <w:rFonts w:ascii="Times New Roman" w:hAnsi="Times New Roman" w:cs="Times New Roman"/>
          <w:i/>
        </w:rPr>
        <w:t>case management</w:t>
      </w:r>
      <w:r w:rsidR="00BC254A" w:rsidRPr="0083053E">
        <w:rPr>
          <w:rFonts w:ascii="Times New Roman" w:hAnsi="Times New Roman" w:cs="Times New Roman"/>
        </w:rPr>
        <w:t xml:space="preserve"> di gruppi di pazienti. Una possibilità di distinzione potrebbe vedere lo svolgimento di ruoli prestazionali nei contesti di </w:t>
      </w:r>
      <w:r w:rsidR="0006162A" w:rsidRPr="0083053E">
        <w:rPr>
          <w:rFonts w:ascii="Times New Roman" w:hAnsi="Times New Roman" w:cs="Times New Roman"/>
        </w:rPr>
        <w:t>ADI</w:t>
      </w:r>
      <w:r w:rsidR="00BC254A" w:rsidRPr="0083053E">
        <w:rPr>
          <w:rFonts w:ascii="Times New Roman" w:hAnsi="Times New Roman" w:cs="Times New Roman"/>
        </w:rPr>
        <w:t xml:space="preserve"> e </w:t>
      </w:r>
      <w:r w:rsidR="0006162A" w:rsidRPr="0083053E">
        <w:rPr>
          <w:rFonts w:ascii="Times New Roman" w:hAnsi="Times New Roman" w:cs="Times New Roman"/>
        </w:rPr>
        <w:t>UCA</w:t>
      </w:r>
      <w:r w:rsidR="00BC254A" w:rsidRPr="0083053E">
        <w:rPr>
          <w:rFonts w:ascii="Times New Roman" w:hAnsi="Times New Roman" w:cs="Times New Roman"/>
        </w:rPr>
        <w:t xml:space="preserve"> e ruoli di </w:t>
      </w:r>
      <w:r w:rsidR="00BC254A" w:rsidRPr="0083053E">
        <w:rPr>
          <w:rFonts w:ascii="Times New Roman" w:hAnsi="Times New Roman" w:cs="Times New Roman"/>
          <w:i/>
        </w:rPr>
        <w:t>case management</w:t>
      </w:r>
      <w:r w:rsidR="00BC254A" w:rsidRPr="0083053E">
        <w:rPr>
          <w:rFonts w:ascii="Times New Roman" w:hAnsi="Times New Roman" w:cs="Times New Roman"/>
        </w:rPr>
        <w:t xml:space="preserve"> in setting come l’ambulatorio dei MMG, nelle UOC e nelle </w:t>
      </w:r>
      <w:proofErr w:type="spellStart"/>
      <w:r w:rsidR="00BC254A" w:rsidRPr="0083053E">
        <w:rPr>
          <w:rFonts w:ascii="Times New Roman" w:hAnsi="Times New Roman" w:cs="Times New Roman"/>
        </w:rPr>
        <w:t>CdC</w:t>
      </w:r>
      <w:proofErr w:type="spellEnd"/>
      <w:r w:rsidR="00BC254A" w:rsidRPr="0083053E">
        <w:rPr>
          <w:rFonts w:ascii="Times New Roman" w:hAnsi="Times New Roman" w:cs="Times New Roman"/>
        </w:rPr>
        <w:t xml:space="preserve">. </w:t>
      </w:r>
    </w:p>
    <w:p w14:paraId="347A96BE" w14:textId="2D5D1EA6" w:rsidR="00BC254A" w:rsidRDefault="00BC254A" w:rsidP="0006162A">
      <w:pPr>
        <w:pStyle w:val="Nessunaspaziatura"/>
        <w:jc w:val="both"/>
        <w:rPr>
          <w:rFonts w:ascii="Times New Roman" w:hAnsi="Times New Roman" w:cs="Times New Roman"/>
        </w:rPr>
      </w:pPr>
      <w:r>
        <w:rPr>
          <w:rFonts w:ascii="Times New Roman" w:hAnsi="Times New Roman" w:cs="Times New Roman"/>
        </w:rPr>
        <w:t>Le quattro prospettive di analisi sono state esposte in modo distinto per chiarezza espositiva: sul terreno operano congiuntamente, rendendo l</w:t>
      </w:r>
      <w:r w:rsidR="0083053E">
        <w:rPr>
          <w:rFonts w:ascii="Times New Roman" w:hAnsi="Times New Roman" w:cs="Times New Roman"/>
        </w:rPr>
        <w:t>’assetto</w:t>
      </w:r>
      <w:r>
        <w:rPr>
          <w:rFonts w:ascii="Times New Roman" w:hAnsi="Times New Roman" w:cs="Times New Roman"/>
        </w:rPr>
        <w:t xml:space="preserve"> </w:t>
      </w:r>
      <w:r w:rsidR="0083053E">
        <w:rPr>
          <w:rFonts w:ascii="Times New Roman" w:hAnsi="Times New Roman" w:cs="Times New Roman"/>
        </w:rPr>
        <w:t xml:space="preserve">dei servizi </w:t>
      </w:r>
      <w:r>
        <w:rPr>
          <w:rFonts w:ascii="Times New Roman" w:hAnsi="Times New Roman" w:cs="Times New Roman"/>
        </w:rPr>
        <w:t>il frutto del combinato disposto</w:t>
      </w:r>
      <w:r w:rsidR="0083053E">
        <w:rPr>
          <w:rFonts w:ascii="Times New Roman" w:hAnsi="Times New Roman" w:cs="Times New Roman"/>
        </w:rPr>
        <w:t xml:space="preserve"> delle scelte</w:t>
      </w:r>
      <w:r>
        <w:rPr>
          <w:rFonts w:ascii="Times New Roman" w:hAnsi="Times New Roman" w:cs="Times New Roman"/>
        </w:rPr>
        <w:t>.</w:t>
      </w:r>
    </w:p>
    <w:p w14:paraId="2253C91E" w14:textId="77777777" w:rsidR="0006162A" w:rsidRDefault="0006162A" w:rsidP="00552E9F">
      <w:pPr>
        <w:pStyle w:val="Nessunaspaziatura"/>
        <w:jc w:val="both"/>
        <w:rPr>
          <w:rFonts w:ascii="Times New Roman" w:hAnsi="Times New Roman" w:cs="Times New Roman"/>
        </w:rPr>
      </w:pPr>
    </w:p>
    <w:p w14:paraId="29F04BB0" w14:textId="0B7FDA93" w:rsidR="00552E9F" w:rsidRPr="00FA7217" w:rsidRDefault="00552E9F" w:rsidP="00FA7217">
      <w:pPr>
        <w:pStyle w:val="Nessunaspaziatura"/>
        <w:jc w:val="both"/>
        <w:rPr>
          <w:rFonts w:ascii="Times New Roman" w:hAnsi="Times New Roman" w:cs="Times New Roman"/>
        </w:rPr>
      </w:pPr>
      <w:r>
        <w:rPr>
          <w:rFonts w:ascii="Times New Roman" w:hAnsi="Times New Roman" w:cs="Times New Roman"/>
        </w:rPr>
        <w:t xml:space="preserve">Il merito del PNRR in sanità e del DM77 è di aver generato una chiara agenda di innovazioni possibili che riguardano le infrastrutture erogative, le caratteristiche dei servizi, le competenze da sviluppare, i processi erogativi e le interdipendenze tra professionisti. Il </w:t>
      </w:r>
      <w:r w:rsidR="008C72C1">
        <w:rPr>
          <w:rFonts w:ascii="Times New Roman" w:hAnsi="Times New Roman" w:cs="Times New Roman"/>
        </w:rPr>
        <w:t>PNRR</w:t>
      </w:r>
      <w:r>
        <w:rPr>
          <w:rFonts w:ascii="Times New Roman" w:hAnsi="Times New Roman" w:cs="Times New Roman"/>
        </w:rPr>
        <w:t xml:space="preserve"> impon</w:t>
      </w:r>
      <w:r w:rsidR="008C72C1">
        <w:rPr>
          <w:rFonts w:ascii="Times New Roman" w:hAnsi="Times New Roman" w:cs="Times New Roman"/>
        </w:rPr>
        <w:t>e</w:t>
      </w:r>
      <w:r>
        <w:rPr>
          <w:rFonts w:ascii="Times New Roman" w:hAnsi="Times New Roman" w:cs="Times New Roman"/>
        </w:rPr>
        <w:t xml:space="preserve"> </w:t>
      </w:r>
      <w:r w:rsidRPr="000308A8">
        <w:rPr>
          <w:rFonts w:ascii="Times New Roman" w:hAnsi="Times New Roman" w:cs="Times New Roman"/>
          <w:i/>
        </w:rPr>
        <w:t>milestones</w:t>
      </w:r>
      <w:r>
        <w:rPr>
          <w:rFonts w:ascii="Times New Roman" w:hAnsi="Times New Roman" w:cs="Times New Roman"/>
        </w:rPr>
        <w:t xml:space="preserve"> e target precisi per quanto riguarda la costruzione e l’ammodernamento delle infrastrutture, mentre lascia ampia autonomia a Regioni e aziende sanitarie in merito all’innovazione dei servizi, delle competenze e dei processi produttivi. Pensiamo che questa possa essere una stagione interessante e generativa per il </w:t>
      </w:r>
      <w:r w:rsidRPr="000308A8">
        <w:rPr>
          <w:rFonts w:ascii="Times New Roman" w:hAnsi="Times New Roman" w:cs="Times New Roman"/>
          <w:i/>
        </w:rPr>
        <w:t>top</w:t>
      </w:r>
      <w:r>
        <w:rPr>
          <w:rFonts w:ascii="Times New Roman" w:hAnsi="Times New Roman" w:cs="Times New Roman"/>
        </w:rPr>
        <w:t xml:space="preserve"> e </w:t>
      </w:r>
      <w:r w:rsidRPr="000308A8">
        <w:rPr>
          <w:rFonts w:ascii="Times New Roman" w:hAnsi="Times New Roman" w:cs="Times New Roman"/>
          <w:i/>
        </w:rPr>
        <w:t>middle</w:t>
      </w:r>
      <w:r>
        <w:rPr>
          <w:rFonts w:ascii="Times New Roman" w:hAnsi="Times New Roman" w:cs="Times New Roman"/>
        </w:rPr>
        <w:t xml:space="preserve"> </w:t>
      </w:r>
      <w:r w:rsidRPr="000308A8">
        <w:rPr>
          <w:rFonts w:ascii="Times New Roman" w:hAnsi="Times New Roman" w:cs="Times New Roman"/>
          <w:i/>
        </w:rPr>
        <w:t>management</w:t>
      </w:r>
      <w:r>
        <w:rPr>
          <w:rFonts w:ascii="Times New Roman" w:hAnsi="Times New Roman" w:cs="Times New Roman"/>
        </w:rPr>
        <w:t xml:space="preserve"> delle regioni e delle aziende sanitarie, nella misura in cui possono popolare di imprenditorialità e responsabilità questi rilevanti spazi decisionali. Non si tratta di una veloce corsa a ostacoli, ma di una maratona di almeno cinque anni, che è un tempo congruo per cambiamenti profondi.</w:t>
      </w:r>
    </w:p>
    <w:sectPr w:rsidR="00552E9F" w:rsidRPr="00FA72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33B5E"/>
    <w:multiLevelType w:val="multilevel"/>
    <w:tmpl w:val="457E888A"/>
    <w:lvl w:ilvl="0">
      <w:start w:val="1"/>
      <w:numFmt w:val="decimal"/>
      <w:pStyle w:val="Tito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C6169C0"/>
    <w:multiLevelType w:val="hybridMultilevel"/>
    <w:tmpl w:val="6EEA9BF6"/>
    <w:lvl w:ilvl="0" w:tplc="9398A85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61030805">
    <w:abstractNumId w:val="0"/>
  </w:num>
  <w:num w:numId="2" w16cid:durableId="1960721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0F"/>
    <w:rsid w:val="0006162A"/>
    <w:rsid w:val="000D782A"/>
    <w:rsid w:val="001412B7"/>
    <w:rsid w:val="00236505"/>
    <w:rsid w:val="002A011C"/>
    <w:rsid w:val="00335CED"/>
    <w:rsid w:val="003E75BA"/>
    <w:rsid w:val="004247A9"/>
    <w:rsid w:val="004A0323"/>
    <w:rsid w:val="004B0463"/>
    <w:rsid w:val="004D3098"/>
    <w:rsid w:val="00532F13"/>
    <w:rsid w:val="00552E9F"/>
    <w:rsid w:val="00622935"/>
    <w:rsid w:val="00655E1C"/>
    <w:rsid w:val="00726877"/>
    <w:rsid w:val="00753618"/>
    <w:rsid w:val="00792D51"/>
    <w:rsid w:val="008057E1"/>
    <w:rsid w:val="0083053E"/>
    <w:rsid w:val="008C72C1"/>
    <w:rsid w:val="008E4AC1"/>
    <w:rsid w:val="00921223"/>
    <w:rsid w:val="009356CA"/>
    <w:rsid w:val="009B7C87"/>
    <w:rsid w:val="00B20EBB"/>
    <w:rsid w:val="00B2760F"/>
    <w:rsid w:val="00B56207"/>
    <w:rsid w:val="00B90619"/>
    <w:rsid w:val="00BC254A"/>
    <w:rsid w:val="00E64309"/>
    <w:rsid w:val="00E868C7"/>
    <w:rsid w:val="00EB0AA6"/>
    <w:rsid w:val="00EE401C"/>
    <w:rsid w:val="00F67CE2"/>
    <w:rsid w:val="00FA7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9124"/>
  <w15:chartTrackingRefBased/>
  <w15:docId w15:val="{46F2BCBC-B69E-401E-A2D9-A390F381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4B0463"/>
    <w:pPr>
      <w:keepNext/>
      <w:keepLines/>
      <w:numPr>
        <w:numId w:val="1"/>
      </w:numPr>
      <w:spacing w:before="240" w:after="0" w:line="240" w:lineRule="auto"/>
      <w:jc w:val="both"/>
      <w:outlineLvl w:val="0"/>
    </w:pPr>
    <w:rPr>
      <w:rFonts w:ascii="Times New Roman" w:eastAsiaTheme="majorEastAsia" w:hAnsi="Times New Roman" w:cs="Times New Roman"/>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A0323"/>
    <w:pPr>
      <w:spacing w:after="0" w:line="240" w:lineRule="auto"/>
    </w:pPr>
    <w:rPr>
      <w:rFonts w:ascii="Arial" w:hAnsi="Arial"/>
    </w:rPr>
  </w:style>
  <w:style w:type="character" w:customStyle="1" w:styleId="Titolo1Carattere">
    <w:name w:val="Titolo 1 Carattere"/>
    <w:basedOn w:val="Carpredefinitoparagrafo"/>
    <w:link w:val="Titolo1"/>
    <w:uiPriority w:val="9"/>
    <w:rsid w:val="004B0463"/>
    <w:rPr>
      <w:rFonts w:ascii="Times New Roman" w:eastAsiaTheme="majorEastAsia"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E8B26B647E14B488CADA15DCE2A8630" ma:contentTypeVersion="6" ma:contentTypeDescription="Creare un nuovo documento." ma:contentTypeScope="" ma:versionID="703c3bae90ac4cdd71e0fb1d955ffe36">
  <xsd:schema xmlns:xsd="http://www.w3.org/2001/XMLSchema" xmlns:xs="http://www.w3.org/2001/XMLSchema" xmlns:p="http://schemas.microsoft.com/office/2006/metadata/properties" xmlns:ns3="a100bd78-282c-4289-b841-865561219fc4" targetNamespace="http://schemas.microsoft.com/office/2006/metadata/properties" ma:root="true" ma:fieldsID="346df74c5f2680136ba271cad5287bcf" ns3:_="">
    <xsd:import namespace="a100bd78-282c-4289-b841-865561219f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0bd78-282c-4289-b841-865561219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30FC9-642F-403F-98A7-BDE2CF3AD542}">
  <ds:schemaRefs>
    <ds:schemaRef ds:uri="http://schemas.microsoft.com/sharepoint/v3/contenttype/forms"/>
  </ds:schemaRefs>
</ds:datastoreItem>
</file>

<file path=customXml/itemProps2.xml><?xml version="1.0" encoding="utf-8"?>
<ds:datastoreItem xmlns:ds="http://schemas.openxmlformats.org/officeDocument/2006/customXml" ds:itemID="{DB52CC73-2D7F-4F72-A0E3-C564C813E5A2}">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a100bd78-282c-4289-b841-865561219fc4"/>
  </ds:schemaRefs>
</ds:datastoreItem>
</file>

<file path=customXml/itemProps3.xml><?xml version="1.0" encoding="utf-8"?>
<ds:datastoreItem xmlns:ds="http://schemas.openxmlformats.org/officeDocument/2006/customXml" ds:itemID="{434069FE-4F4F-484D-BDE0-8D6AD6FD8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0bd78-282c-4289-b841-865561219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2461</Words>
  <Characters>13857</Characters>
  <Application>Microsoft Office Word</Application>
  <DocSecurity>0</DocSecurity>
  <Lines>192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Guerra</dc:creator>
  <cp:keywords/>
  <dc:description/>
  <cp:lastModifiedBy>Francesco Longo</cp:lastModifiedBy>
  <cp:revision>2</cp:revision>
  <dcterms:created xsi:type="dcterms:W3CDTF">2022-10-07T08:06:00Z</dcterms:created>
  <dcterms:modified xsi:type="dcterms:W3CDTF">2022-10-07T08:06:00Z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0x0101002E8B26B647E14B488CADA15DCE2A8630</vt:lpwstr>
  </property>
</Properties>
</file>